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B6" w:rsidRPr="00D0233F" w:rsidRDefault="00D91AB6" w:rsidP="00D91AB6">
      <w:pPr>
        <w:pStyle w:val="Prosttext"/>
        <w:spacing w:after="120" w:line="264" w:lineRule="auto"/>
        <w:jc w:val="center"/>
        <w:rPr>
          <w:rFonts w:ascii="Arial" w:eastAsia="Calibri" w:hAnsi="Arial" w:cs="Arial"/>
          <w:b/>
          <w:bCs/>
          <w:sz w:val="20"/>
          <w:szCs w:val="20"/>
          <w:lang w:eastAsia="cs-CZ"/>
        </w:rPr>
      </w:pPr>
      <w:bookmarkStart w:id="0" w:name="_Toc385492639"/>
      <w:bookmarkStart w:id="1" w:name="_Toc388618011"/>
      <w:bookmarkStart w:id="2" w:name="_Toc391300574"/>
      <w:bookmarkStart w:id="3" w:name="_Toc401148474"/>
      <w:bookmarkStart w:id="4" w:name="_Toc401839048"/>
      <w:bookmarkStart w:id="5" w:name="_Toc401842232"/>
    </w:p>
    <w:p w:rsidR="00D91AB6" w:rsidRPr="00D0233F" w:rsidRDefault="00D91AB6" w:rsidP="00D91AB6">
      <w:pPr>
        <w:pStyle w:val="Prosttext"/>
        <w:spacing w:after="120" w:line="264" w:lineRule="auto"/>
        <w:jc w:val="center"/>
        <w:rPr>
          <w:rFonts w:ascii="Arial" w:eastAsia="Calibri" w:hAnsi="Arial" w:cs="Arial"/>
          <w:b/>
          <w:bCs/>
          <w:sz w:val="20"/>
          <w:szCs w:val="20"/>
          <w:lang w:eastAsia="cs-CZ"/>
        </w:rPr>
      </w:pPr>
    </w:p>
    <w:p w:rsidR="00D91AB6" w:rsidRPr="004A74EA" w:rsidRDefault="00D91AB6" w:rsidP="00D91AB6">
      <w:pPr>
        <w:pStyle w:val="Prosttext"/>
        <w:spacing w:after="120" w:line="264" w:lineRule="auto"/>
        <w:jc w:val="center"/>
        <w:rPr>
          <w:rFonts w:ascii="Arial" w:eastAsia="Calibri" w:hAnsi="Arial" w:cs="Arial"/>
          <w:b/>
          <w:bCs/>
          <w:sz w:val="36"/>
          <w:szCs w:val="36"/>
          <w:lang w:eastAsia="cs-CZ"/>
        </w:rPr>
      </w:pPr>
      <w:r w:rsidRPr="004A74EA">
        <w:rPr>
          <w:rFonts w:ascii="Arial" w:eastAsia="Calibri" w:hAnsi="Arial" w:cs="Arial"/>
          <w:b/>
          <w:bCs/>
          <w:sz w:val="36"/>
          <w:szCs w:val="36"/>
          <w:lang w:eastAsia="cs-CZ"/>
        </w:rPr>
        <w:t>Ministerstvo pro místní rozvoj</w:t>
      </w:r>
    </w:p>
    <w:p w:rsidR="00D91AB6" w:rsidRPr="004A74EA" w:rsidRDefault="0028540D" w:rsidP="00D91AB6">
      <w:pPr>
        <w:pStyle w:val="Prosttext"/>
        <w:jc w:val="center"/>
        <w:rPr>
          <w:rFonts w:ascii="Arial" w:hAnsi="Arial" w:cs="Arial"/>
          <w:b/>
          <w:bCs/>
          <w:sz w:val="36"/>
          <w:szCs w:val="36"/>
        </w:rPr>
      </w:pPr>
      <w:r w:rsidRPr="004A74EA">
        <w:rPr>
          <w:rFonts w:ascii="Arial" w:hAnsi="Arial" w:cs="Arial"/>
          <w:b/>
          <w:bCs/>
          <w:sz w:val="36"/>
          <w:szCs w:val="36"/>
        </w:rPr>
        <w:t xml:space="preserve">Odbor </w:t>
      </w:r>
      <w:r w:rsidR="00372909" w:rsidRPr="004A74EA">
        <w:rPr>
          <w:rFonts w:ascii="Arial" w:hAnsi="Arial" w:cs="Arial"/>
          <w:b/>
          <w:bCs/>
          <w:sz w:val="36"/>
          <w:szCs w:val="36"/>
        </w:rPr>
        <w:t>Cestovního ruchu</w:t>
      </w:r>
    </w:p>
    <w:p w:rsidR="00D91AB6" w:rsidRPr="004A74EA" w:rsidRDefault="00266258" w:rsidP="00515056">
      <w:pPr>
        <w:pStyle w:val="Podtitul"/>
        <w:spacing w:before="2400"/>
        <w:rPr>
          <w:rFonts w:eastAsia="Arial Unicode MS"/>
          <w:b w:val="0"/>
          <w:iCs w:val="0"/>
          <w:spacing w:val="0"/>
        </w:rPr>
      </w:pPr>
      <w:r w:rsidRPr="004A74EA">
        <w:t xml:space="preserve">Cestovní ruch </w:t>
      </w:r>
      <w:r w:rsidR="0075201A" w:rsidRPr="004A74EA">
        <w:t xml:space="preserve">2015 - </w:t>
      </w:r>
      <w:r w:rsidRPr="004A74EA">
        <w:t>2016</w:t>
      </w:r>
      <w:r w:rsidR="00D91AB6" w:rsidRPr="004A74EA">
        <w:rPr>
          <w:rFonts w:eastAsia="Arial Unicode MS"/>
          <w:b w:val="0"/>
          <w:iCs w:val="0"/>
          <w:spacing w:val="0"/>
        </w:rPr>
        <w:t xml:space="preserve"> </w:t>
      </w:r>
    </w:p>
    <w:p w:rsidR="00D91AB6" w:rsidRDefault="00D91AB6" w:rsidP="00D91AB6">
      <w:pPr>
        <w:rPr>
          <w:rFonts w:ascii="Arial" w:hAnsi="Arial" w:cs="Arial"/>
          <w:sz w:val="20"/>
          <w:szCs w:val="20"/>
        </w:rPr>
      </w:pPr>
    </w:p>
    <w:p w:rsidR="004A74EA" w:rsidRDefault="004A74EA" w:rsidP="00D91AB6">
      <w:pPr>
        <w:rPr>
          <w:rFonts w:ascii="Arial" w:hAnsi="Arial" w:cs="Arial"/>
          <w:sz w:val="20"/>
          <w:szCs w:val="20"/>
        </w:rPr>
      </w:pPr>
    </w:p>
    <w:p w:rsidR="004A74EA" w:rsidRDefault="004A74EA" w:rsidP="00D91AB6">
      <w:pPr>
        <w:rPr>
          <w:rFonts w:ascii="Arial" w:hAnsi="Arial" w:cs="Arial"/>
          <w:sz w:val="20"/>
          <w:szCs w:val="20"/>
        </w:rPr>
      </w:pPr>
    </w:p>
    <w:p w:rsidR="004A74EA" w:rsidRPr="00D0233F" w:rsidRDefault="004A74EA" w:rsidP="00D91AB6">
      <w:pPr>
        <w:rPr>
          <w:rFonts w:ascii="Arial" w:hAnsi="Arial" w:cs="Arial"/>
          <w:sz w:val="20"/>
          <w:szCs w:val="20"/>
        </w:rPr>
      </w:pPr>
    </w:p>
    <w:p w:rsidR="004A74EA" w:rsidRPr="002519D7" w:rsidRDefault="004A74EA" w:rsidP="004A74EA">
      <w:pPr>
        <w:jc w:val="center"/>
        <w:rPr>
          <w:rFonts w:ascii="Arial" w:eastAsia="Calibri" w:hAnsi="Arial" w:cs="Arial"/>
          <w:sz w:val="24"/>
          <w:szCs w:val="24"/>
        </w:rPr>
      </w:pPr>
      <w:r w:rsidRPr="002519D7">
        <w:rPr>
          <w:rFonts w:ascii="Arial" w:eastAsia="Calibri" w:hAnsi="Arial" w:cs="Arial"/>
          <w:sz w:val="28"/>
          <w:szCs w:val="28"/>
        </w:rPr>
        <w:t xml:space="preserve">Podklad pro jednání 123. Plenární schůze RHSD ČR </w:t>
      </w:r>
    </w:p>
    <w:p w:rsidR="00372909" w:rsidRPr="00D0233F" w:rsidRDefault="00372909" w:rsidP="00372909">
      <w:pPr>
        <w:pStyle w:val="Podtitul"/>
        <w:rPr>
          <w:b w:val="0"/>
          <w:sz w:val="20"/>
          <w:szCs w:val="20"/>
        </w:rPr>
      </w:pPr>
    </w:p>
    <w:p w:rsidR="00372909" w:rsidRPr="00D0233F" w:rsidRDefault="00372909" w:rsidP="00372909">
      <w:pPr>
        <w:pStyle w:val="Podtitul"/>
        <w:rPr>
          <w:b w:val="0"/>
          <w:sz w:val="20"/>
          <w:szCs w:val="20"/>
        </w:rPr>
      </w:pPr>
    </w:p>
    <w:p w:rsidR="00372909" w:rsidRDefault="00372909" w:rsidP="00372909">
      <w:pPr>
        <w:pStyle w:val="Podtitul"/>
        <w:rPr>
          <w:b w:val="0"/>
        </w:rPr>
      </w:pPr>
    </w:p>
    <w:p w:rsidR="004A74EA" w:rsidRDefault="004A74EA" w:rsidP="004A74EA"/>
    <w:p w:rsidR="004A74EA" w:rsidRDefault="004A74EA" w:rsidP="004A74EA"/>
    <w:p w:rsidR="004A74EA" w:rsidRDefault="004A74EA" w:rsidP="004A74EA"/>
    <w:p w:rsidR="004A74EA" w:rsidRPr="004A74EA" w:rsidRDefault="004A74EA" w:rsidP="004A74EA"/>
    <w:p w:rsidR="00D91AB6" w:rsidRPr="004A74EA" w:rsidRDefault="00266258" w:rsidP="00372909">
      <w:pPr>
        <w:pStyle w:val="Podtitul"/>
        <w:rPr>
          <w:b w:val="0"/>
        </w:rPr>
      </w:pPr>
      <w:r w:rsidRPr="004A74EA">
        <w:rPr>
          <w:b w:val="0"/>
        </w:rPr>
        <w:t>prosinec</w:t>
      </w:r>
      <w:r w:rsidR="00D91AB6" w:rsidRPr="004A74EA">
        <w:rPr>
          <w:b w:val="0"/>
        </w:rPr>
        <w:t xml:space="preserve"> 2015</w:t>
      </w:r>
    </w:p>
    <w:p w:rsidR="00372909" w:rsidRPr="00D0233F" w:rsidRDefault="00372909" w:rsidP="00D91AB6">
      <w:pPr>
        <w:spacing w:before="0" w:line="240" w:lineRule="auto"/>
        <w:jc w:val="left"/>
        <w:rPr>
          <w:rFonts w:ascii="Arial" w:hAnsi="Arial" w:cs="Arial"/>
          <w:sz w:val="20"/>
          <w:szCs w:val="20"/>
        </w:rPr>
      </w:pPr>
    </w:p>
    <w:p w:rsidR="00372909" w:rsidRPr="00D0233F" w:rsidRDefault="00372909" w:rsidP="00D91AB6">
      <w:pPr>
        <w:spacing w:before="0" w:line="240" w:lineRule="auto"/>
        <w:jc w:val="left"/>
        <w:rPr>
          <w:rFonts w:ascii="Arial" w:hAnsi="Arial" w:cs="Arial"/>
          <w:sz w:val="20"/>
          <w:szCs w:val="20"/>
        </w:rPr>
      </w:pPr>
    </w:p>
    <w:p w:rsidR="00372909" w:rsidRPr="00D0233F" w:rsidRDefault="00372909" w:rsidP="00D91AB6">
      <w:pPr>
        <w:spacing w:before="0" w:line="240" w:lineRule="auto"/>
        <w:jc w:val="left"/>
        <w:rPr>
          <w:rFonts w:ascii="Arial" w:hAnsi="Arial" w:cs="Arial"/>
          <w:sz w:val="20"/>
          <w:szCs w:val="20"/>
        </w:rPr>
      </w:pPr>
    </w:p>
    <w:p w:rsidR="004A74EA" w:rsidRDefault="004A74EA">
      <w:pPr>
        <w:spacing w:before="0" w:line="240" w:lineRule="auto"/>
        <w:jc w:val="left"/>
        <w:rPr>
          <w:rFonts w:ascii="Arial" w:hAnsi="Arial" w:cs="Arial"/>
          <w:sz w:val="20"/>
          <w:szCs w:val="20"/>
        </w:rPr>
      </w:pPr>
      <w:r>
        <w:rPr>
          <w:rFonts w:ascii="Arial" w:hAnsi="Arial" w:cs="Arial"/>
          <w:sz w:val="20"/>
          <w:szCs w:val="20"/>
        </w:rPr>
        <w:br w:type="page"/>
      </w:r>
      <w:bookmarkStart w:id="6" w:name="_GoBack"/>
      <w:bookmarkEnd w:id="6"/>
    </w:p>
    <w:p w:rsidR="00372909" w:rsidRPr="00D0233F" w:rsidRDefault="00372909" w:rsidP="00D91AB6">
      <w:pPr>
        <w:spacing w:before="0" w:line="240" w:lineRule="auto"/>
        <w:jc w:val="left"/>
        <w:rPr>
          <w:rFonts w:ascii="Arial" w:hAnsi="Arial" w:cs="Arial"/>
          <w:sz w:val="20"/>
          <w:szCs w:val="20"/>
        </w:rPr>
      </w:pPr>
    </w:p>
    <w:sdt>
      <w:sdtPr>
        <w:rPr>
          <w:rFonts w:ascii="Times New Roman" w:eastAsia="Arial Unicode MS" w:hAnsi="Times New Roman" w:cs="Times New Roman"/>
          <w:b w:val="0"/>
          <w:bCs w:val="0"/>
          <w:color w:val="auto"/>
          <w:sz w:val="22"/>
          <w:szCs w:val="22"/>
          <w:lang w:eastAsia="cs-CZ"/>
        </w:rPr>
        <w:id w:val="-446706136"/>
        <w:docPartObj>
          <w:docPartGallery w:val="Table of Contents"/>
          <w:docPartUnique/>
        </w:docPartObj>
      </w:sdtPr>
      <w:sdtContent>
        <w:p w:rsidR="00ED2E19" w:rsidRPr="00A82104" w:rsidRDefault="00ED2E19">
          <w:pPr>
            <w:pStyle w:val="Nadpisobsahu"/>
            <w:rPr>
              <w:sz w:val="24"/>
              <w:szCs w:val="24"/>
            </w:rPr>
          </w:pPr>
          <w:r w:rsidRPr="00A82104">
            <w:rPr>
              <w:sz w:val="24"/>
              <w:szCs w:val="24"/>
            </w:rPr>
            <w:t>Obsah</w:t>
          </w:r>
        </w:p>
        <w:p w:rsidR="00515056" w:rsidRDefault="00D95029">
          <w:pPr>
            <w:pStyle w:val="Obsah1"/>
            <w:tabs>
              <w:tab w:val="right" w:leader="dot" w:pos="9060"/>
            </w:tabs>
            <w:rPr>
              <w:rFonts w:asciiTheme="minorHAnsi" w:eastAsiaTheme="minorEastAsia" w:hAnsiTheme="minorHAnsi" w:cstheme="minorBidi"/>
              <w:noProof/>
            </w:rPr>
          </w:pPr>
          <w:r w:rsidRPr="00D95029">
            <w:fldChar w:fldCharType="begin"/>
          </w:r>
          <w:r w:rsidR="00ED2E19">
            <w:instrText xml:space="preserve"> TOC \o "1-3" \h \z \u </w:instrText>
          </w:r>
          <w:r w:rsidRPr="00D95029">
            <w:fldChar w:fldCharType="separate"/>
          </w:r>
          <w:hyperlink w:anchor="_Toc434585081" w:history="1">
            <w:r w:rsidR="00515056" w:rsidRPr="00305E3B">
              <w:rPr>
                <w:rStyle w:val="Hypertextovodkaz"/>
                <w:noProof/>
              </w:rPr>
              <w:t>Úvod</w:t>
            </w:r>
            <w:r w:rsidR="00515056">
              <w:rPr>
                <w:noProof/>
                <w:webHidden/>
              </w:rPr>
              <w:tab/>
            </w:r>
            <w:r>
              <w:rPr>
                <w:noProof/>
                <w:webHidden/>
              </w:rPr>
              <w:fldChar w:fldCharType="begin"/>
            </w:r>
            <w:r w:rsidR="00515056">
              <w:rPr>
                <w:noProof/>
                <w:webHidden/>
              </w:rPr>
              <w:instrText xml:space="preserve"> PAGEREF _Toc434585081 \h </w:instrText>
            </w:r>
            <w:r>
              <w:rPr>
                <w:noProof/>
                <w:webHidden/>
              </w:rPr>
            </w:r>
            <w:r>
              <w:rPr>
                <w:noProof/>
                <w:webHidden/>
              </w:rPr>
              <w:fldChar w:fldCharType="separate"/>
            </w:r>
            <w:r w:rsidR="00DC0529">
              <w:rPr>
                <w:noProof/>
                <w:webHidden/>
              </w:rPr>
              <w:t>3</w:t>
            </w:r>
            <w:r>
              <w:rPr>
                <w:noProof/>
                <w:webHidden/>
              </w:rPr>
              <w:fldChar w:fldCharType="end"/>
            </w:r>
          </w:hyperlink>
        </w:p>
        <w:p w:rsidR="00515056" w:rsidRDefault="00D95029">
          <w:pPr>
            <w:pStyle w:val="Obsah1"/>
            <w:tabs>
              <w:tab w:val="left" w:pos="440"/>
              <w:tab w:val="right" w:leader="dot" w:pos="9060"/>
            </w:tabs>
            <w:rPr>
              <w:rFonts w:asciiTheme="minorHAnsi" w:eastAsiaTheme="minorEastAsia" w:hAnsiTheme="minorHAnsi" w:cstheme="minorBidi"/>
              <w:noProof/>
            </w:rPr>
          </w:pPr>
          <w:hyperlink w:anchor="_Toc434585082" w:history="1">
            <w:r w:rsidR="00515056" w:rsidRPr="00305E3B">
              <w:rPr>
                <w:rStyle w:val="Hypertextovodkaz"/>
                <w:noProof/>
              </w:rPr>
              <w:t>1.</w:t>
            </w:r>
            <w:r w:rsidR="00515056">
              <w:rPr>
                <w:rFonts w:asciiTheme="minorHAnsi" w:eastAsiaTheme="minorEastAsia" w:hAnsiTheme="minorHAnsi" w:cstheme="minorBidi"/>
                <w:noProof/>
              </w:rPr>
              <w:tab/>
            </w:r>
            <w:r w:rsidR="00515056" w:rsidRPr="00305E3B">
              <w:rPr>
                <w:rStyle w:val="Hypertextovodkaz"/>
                <w:noProof/>
              </w:rPr>
              <w:t>Implementace vybraných opatření Akčního plánu</w:t>
            </w:r>
            <w:r w:rsidR="00515056">
              <w:rPr>
                <w:noProof/>
                <w:webHidden/>
              </w:rPr>
              <w:tab/>
            </w:r>
            <w:r>
              <w:rPr>
                <w:noProof/>
                <w:webHidden/>
              </w:rPr>
              <w:fldChar w:fldCharType="begin"/>
            </w:r>
            <w:r w:rsidR="00515056">
              <w:rPr>
                <w:noProof/>
                <w:webHidden/>
              </w:rPr>
              <w:instrText xml:space="preserve"> PAGEREF _Toc434585082 \h </w:instrText>
            </w:r>
            <w:r>
              <w:rPr>
                <w:noProof/>
                <w:webHidden/>
              </w:rPr>
            </w:r>
            <w:r>
              <w:rPr>
                <w:noProof/>
                <w:webHidden/>
              </w:rPr>
              <w:fldChar w:fldCharType="separate"/>
            </w:r>
            <w:r w:rsidR="00DC0529">
              <w:rPr>
                <w:noProof/>
                <w:webHidden/>
              </w:rPr>
              <w:t>6</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3" w:history="1">
            <w:r w:rsidR="00515056" w:rsidRPr="00305E3B">
              <w:rPr>
                <w:rStyle w:val="Hypertextovodkaz"/>
                <w:noProof/>
              </w:rPr>
              <w:t>1.1.</w:t>
            </w:r>
            <w:r w:rsidR="00515056">
              <w:rPr>
                <w:rFonts w:asciiTheme="minorHAnsi" w:eastAsiaTheme="minorEastAsia" w:hAnsiTheme="minorHAnsi" w:cstheme="minorBidi"/>
                <w:noProof/>
              </w:rPr>
              <w:tab/>
            </w:r>
            <w:r w:rsidR="00515056" w:rsidRPr="00305E3B">
              <w:rPr>
                <w:rStyle w:val="Hypertextovodkaz"/>
                <w:noProof/>
              </w:rPr>
              <w:t>Vyhlášení národního programu podpory cestovního ruchu</w:t>
            </w:r>
            <w:r w:rsidR="00515056">
              <w:rPr>
                <w:noProof/>
                <w:webHidden/>
              </w:rPr>
              <w:tab/>
            </w:r>
            <w:r>
              <w:rPr>
                <w:noProof/>
                <w:webHidden/>
              </w:rPr>
              <w:fldChar w:fldCharType="begin"/>
            </w:r>
            <w:r w:rsidR="00515056">
              <w:rPr>
                <w:noProof/>
                <w:webHidden/>
              </w:rPr>
              <w:instrText xml:space="preserve"> PAGEREF _Toc434585083 \h </w:instrText>
            </w:r>
            <w:r>
              <w:rPr>
                <w:noProof/>
                <w:webHidden/>
              </w:rPr>
            </w:r>
            <w:r>
              <w:rPr>
                <w:noProof/>
                <w:webHidden/>
              </w:rPr>
              <w:fldChar w:fldCharType="separate"/>
            </w:r>
            <w:r w:rsidR="00DC0529">
              <w:rPr>
                <w:noProof/>
                <w:webHidden/>
              </w:rPr>
              <w:t>6</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4" w:history="1">
            <w:r w:rsidR="00515056" w:rsidRPr="00305E3B">
              <w:rPr>
                <w:rStyle w:val="Hypertextovodkaz"/>
                <w:noProof/>
              </w:rPr>
              <w:t>1.2.</w:t>
            </w:r>
            <w:r w:rsidR="00515056">
              <w:rPr>
                <w:rFonts w:asciiTheme="minorHAnsi" w:eastAsiaTheme="minorEastAsia" w:hAnsiTheme="minorHAnsi" w:cstheme="minorBidi"/>
                <w:noProof/>
              </w:rPr>
              <w:tab/>
            </w:r>
            <w:r w:rsidR="00515056" w:rsidRPr="00305E3B">
              <w:rPr>
                <w:rStyle w:val="Hypertextovodkaz"/>
                <w:noProof/>
              </w:rPr>
              <w:t>Rozvoj Satelitního účtu cestovního ruchu</w:t>
            </w:r>
            <w:r w:rsidR="00515056">
              <w:rPr>
                <w:noProof/>
                <w:webHidden/>
              </w:rPr>
              <w:tab/>
            </w:r>
            <w:r>
              <w:rPr>
                <w:noProof/>
                <w:webHidden/>
              </w:rPr>
              <w:fldChar w:fldCharType="begin"/>
            </w:r>
            <w:r w:rsidR="00515056">
              <w:rPr>
                <w:noProof/>
                <w:webHidden/>
              </w:rPr>
              <w:instrText xml:space="preserve"> PAGEREF _Toc434585084 \h </w:instrText>
            </w:r>
            <w:r>
              <w:rPr>
                <w:noProof/>
                <w:webHidden/>
              </w:rPr>
            </w:r>
            <w:r>
              <w:rPr>
                <w:noProof/>
                <w:webHidden/>
              </w:rPr>
              <w:fldChar w:fldCharType="separate"/>
            </w:r>
            <w:r w:rsidR="00DC0529">
              <w:rPr>
                <w:noProof/>
                <w:webHidden/>
              </w:rPr>
              <w:t>7</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5" w:history="1">
            <w:r w:rsidR="00515056" w:rsidRPr="00305E3B">
              <w:rPr>
                <w:rStyle w:val="Hypertextovodkaz"/>
                <w:noProof/>
              </w:rPr>
              <w:t>1.3.</w:t>
            </w:r>
            <w:r w:rsidR="00515056">
              <w:rPr>
                <w:rFonts w:asciiTheme="minorHAnsi" w:eastAsiaTheme="minorEastAsia" w:hAnsiTheme="minorHAnsi" w:cstheme="minorBidi"/>
                <w:noProof/>
              </w:rPr>
              <w:tab/>
            </w:r>
            <w:r w:rsidR="00515056" w:rsidRPr="00305E3B">
              <w:rPr>
                <w:rStyle w:val="Hypertextovodkaz"/>
                <w:noProof/>
              </w:rPr>
              <w:t>Realizace marketingových výzkumů</w:t>
            </w:r>
            <w:r w:rsidR="00515056">
              <w:rPr>
                <w:noProof/>
                <w:webHidden/>
              </w:rPr>
              <w:tab/>
            </w:r>
            <w:r>
              <w:rPr>
                <w:noProof/>
                <w:webHidden/>
              </w:rPr>
              <w:fldChar w:fldCharType="begin"/>
            </w:r>
            <w:r w:rsidR="00515056">
              <w:rPr>
                <w:noProof/>
                <w:webHidden/>
              </w:rPr>
              <w:instrText xml:space="preserve"> PAGEREF _Toc434585085 \h </w:instrText>
            </w:r>
            <w:r>
              <w:rPr>
                <w:noProof/>
                <w:webHidden/>
              </w:rPr>
            </w:r>
            <w:r>
              <w:rPr>
                <w:noProof/>
                <w:webHidden/>
              </w:rPr>
              <w:fldChar w:fldCharType="separate"/>
            </w:r>
            <w:r w:rsidR="00DC0529">
              <w:rPr>
                <w:noProof/>
                <w:webHidden/>
              </w:rPr>
              <w:t>7</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6" w:history="1">
            <w:r w:rsidR="00515056" w:rsidRPr="00305E3B">
              <w:rPr>
                <w:rStyle w:val="Hypertextovodkaz"/>
                <w:noProof/>
              </w:rPr>
              <w:t>1.4.</w:t>
            </w:r>
            <w:r w:rsidR="00515056">
              <w:rPr>
                <w:rFonts w:asciiTheme="minorHAnsi" w:eastAsiaTheme="minorEastAsia" w:hAnsiTheme="minorHAnsi" w:cstheme="minorBidi"/>
                <w:noProof/>
              </w:rPr>
              <w:tab/>
            </w:r>
            <w:r w:rsidR="00515056" w:rsidRPr="00305E3B">
              <w:rPr>
                <w:rStyle w:val="Hypertextovodkaz"/>
                <w:noProof/>
              </w:rPr>
              <w:t>Problematika místních poplatků</w:t>
            </w:r>
            <w:r w:rsidR="00515056">
              <w:rPr>
                <w:noProof/>
                <w:webHidden/>
              </w:rPr>
              <w:tab/>
            </w:r>
            <w:r>
              <w:rPr>
                <w:noProof/>
                <w:webHidden/>
              </w:rPr>
              <w:fldChar w:fldCharType="begin"/>
            </w:r>
            <w:r w:rsidR="00515056">
              <w:rPr>
                <w:noProof/>
                <w:webHidden/>
              </w:rPr>
              <w:instrText xml:space="preserve"> PAGEREF _Toc434585086 \h </w:instrText>
            </w:r>
            <w:r>
              <w:rPr>
                <w:noProof/>
                <w:webHidden/>
              </w:rPr>
            </w:r>
            <w:r>
              <w:rPr>
                <w:noProof/>
                <w:webHidden/>
              </w:rPr>
              <w:fldChar w:fldCharType="separate"/>
            </w:r>
            <w:r w:rsidR="00DC0529">
              <w:rPr>
                <w:noProof/>
                <w:webHidden/>
              </w:rPr>
              <w:t>8</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7" w:history="1">
            <w:r w:rsidR="00515056" w:rsidRPr="00305E3B">
              <w:rPr>
                <w:rStyle w:val="Hypertextovodkaz"/>
                <w:noProof/>
              </w:rPr>
              <w:t>1.5.</w:t>
            </w:r>
            <w:r w:rsidR="00515056">
              <w:rPr>
                <w:rFonts w:asciiTheme="minorHAnsi" w:eastAsiaTheme="minorEastAsia" w:hAnsiTheme="minorHAnsi" w:cstheme="minorBidi"/>
                <w:noProof/>
              </w:rPr>
              <w:tab/>
            </w:r>
            <w:r w:rsidR="00515056" w:rsidRPr="00305E3B">
              <w:rPr>
                <w:rStyle w:val="Hypertextovodkaz"/>
                <w:noProof/>
              </w:rPr>
              <w:t>Implementace marketingového plánu</w:t>
            </w:r>
            <w:r w:rsidR="00515056">
              <w:rPr>
                <w:noProof/>
                <w:webHidden/>
              </w:rPr>
              <w:tab/>
            </w:r>
            <w:r>
              <w:rPr>
                <w:noProof/>
                <w:webHidden/>
              </w:rPr>
              <w:fldChar w:fldCharType="begin"/>
            </w:r>
            <w:r w:rsidR="00515056">
              <w:rPr>
                <w:noProof/>
                <w:webHidden/>
              </w:rPr>
              <w:instrText xml:space="preserve"> PAGEREF _Toc434585087 \h </w:instrText>
            </w:r>
            <w:r>
              <w:rPr>
                <w:noProof/>
                <w:webHidden/>
              </w:rPr>
            </w:r>
            <w:r>
              <w:rPr>
                <w:noProof/>
                <w:webHidden/>
              </w:rPr>
              <w:fldChar w:fldCharType="separate"/>
            </w:r>
            <w:r w:rsidR="00DC0529">
              <w:rPr>
                <w:noProof/>
                <w:webHidden/>
              </w:rPr>
              <w:t>9</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88" w:history="1">
            <w:r w:rsidR="00515056" w:rsidRPr="00305E3B">
              <w:rPr>
                <w:rStyle w:val="Hypertextovodkaz"/>
                <w:noProof/>
              </w:rPr>
              <w:t>1.6.</w:t>
            </w:r>
            <w:r w:rsidR="00515056">
              <w:rPr>
                <w:rFonts w:asciiTheme="minorHAnsi" w:eastAsiaTheme="minorEastAsia" w:hAnsiTheme="minorHAnsi" w:cstheme="minorBidi"/>
                <w:noProof/>
              </w:rPr>
              <w:tab/>
            </w:r>
            <w:r w:rsidR="00515056" w:rsidRPr="00305E3B">
              <w:rPr>
                <w:rStyle w:val="Hypertextovodkaz"/>
                <w:noProof/>
              </w:rPr>
              <w:t>Koordinace politiky cestovního ruchu</w:t>
            </w:r>
            <w:r w:rsidR="00515056">
              <w:rPr>
                <w:noProof/>
                <w:webHidden/>
              </w:rPr>
              <w:tab/>
            </w:r>
            <w:r>
              <w:rPr>
                <w:noProof/>
                <w:webHidden/>
              </w:rPr>
              <w:fldChar w:fldCharType="begin"/>
            </w:r>
            <w:r w:rsidR="00515056">
              <w:rPr>
                <w:noProof/>
                <w:webHidden/>
              </w:rPr>
              <w:instrText xml:space="preserve"> PAGEREF _Toc434585088 \h </w:instrText>
            </w:r>
            <w:r>
              <w:rPr>
                <w:noProof/>
                <w:webHidden/>
              </w:rPr>
            </w:r>
            <w:r>
              <w:rPr>
                <w:noProof/>
                <w:webHidden/>
              </w:rPr>
              <w:fldChar w:fldCharType="separate"/>
            </w:r>
            <w:r w:rsidR="00DC0529">
              <w:rPr>
                <w:noProof/>
                <w:webHidden/>
              </w:rPr>
              <w:t>10</w:t>
            </w:r>
            <w:r>
              <w:rPr>
                <w:noProof/>
                <w:webHidden/>
              </w:rPr>
              <w:fldChar w:fldCharType="end"/>
            </w:r>
          </w:hyperlink>
        </w:p>
        <w:p w:rsidR="00515056" w:rsidRDefault="00D95029">
          <w:pPr>
            <w:pStyle w:val="Obsah1"/>
            <w:tabs>
              <w:tab w:val="left" w:pos="440"/>
              <w:tab w:val="right" w:leader="dot" w:pos="9060"/>
            </w:tabs>
            <w:rPr>
              <w:rFonts w:asciiTheme="minorHAnsi" w:eastAsiaTheme="minorEastAsia" w:hAnsiTheme="minorHAnsi" w:cstheme="minorBidi"/>
              <w:noProof/>
            </w:rPr>
          </w:pPr>
          <w:hyperlink w:anchor="_Toc434585089" w:history="1">
            <w:r w:rsidR="00515056" w:rsidRPr="00305E3B">
              <w:rPr>
                <w:rStyle w:val="Hypertextovodkaz"/>
                <w:noProof/>
              </w:rPr>
              <w:t>2.</w:t>
            </w:r>
            <w:r w:rsidR="00515056">
              <w:rPr>
                <w:rFonts w:asciiTheme="minorHAnsi" w:eastAsiaTheme="minorEastAsia" w:hAnsiTheme="minorHAnsi" w:cstheme="minorBidi"/>
                <w:noProof/>
              </w:rPr>
              <w:tab/>
            </w:r>
            <w:r w:rsidR="00515056" w:rsidRPr="00305E3B">
              <w:rPr>
                <w:rStyle w:val="Hypertextovodkaz"/>
                <w:noProof/>
              </w:rPr>
              <w:t>Další realizované aktivity nezahrnuté do Akčního plánu</w:t>
            </w:r>
            <w:r w:rsidR="00515056">
              <w:rPr>
                <w:noProof/>
                <w:webHidden/>
              </w:rPr>
              <w:tab/>
            </w:r>
            <w:r>
              <w:rPr>
                <w:noProof/>
                <w:webHidden/>
              </w:rPr>
              <w:fldChar w:fldCharType="begin"/>
            </w:r>
            <w:r w:rsidR="00515056">
              <w:rPr>
                <w:noProof/>
                <w:webHidden/>
              </w:rPr>
              <w:instrText xml:space="preserve"> PAGEREF _Toc434585089 \h </w:instrText>
            </w:r>
            <w:r>
              <w:rPr>
                <w:noProof/>
                <w:webHidden/>
              </w:rPr>
            </w:r>
            <w:r>
              <w:rPr>
                <w:noProof/>
                <w:webHidden/>
              </w:rPr>
              <w:fldChar w:fldCharType="separate"/>
            </w:r>
            <w:r w:rsidR="00DC0529">
              <w:rPr>
                <w:noProof/>
                <w:webHidden/>
              </w:rPr>
              <w:t>10</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90" w:history="1">
            <w:r w:rsidR="00515056" w:rsidRPr="00305E3B">
              <w:rPr>
                <w:rStyle w:val="Hypertextovodkaz"/>
                <w:noProof/>
              </w:rPr>
              <w:t>2.1.</w:t>
            </w:r>
            <w:r w:rsidR="00515056">
              <w:rPr>
                <w:rFonts w:asciiTheme="minorHAnsi" w:eastAsiaTheme="minorEastAsia" w:hAnsiTheme="minorHAnsi" w:cstheme="minorBidi"/>
                <w:noProof/>
              </w:rPr>
              <w:tab/>
            </w:r>
            <w:r w:rsidR="00515056" w:rsidRPr="00305E3B">
              <w:rPr>
                <w:rStyle w:val="Hypertextovodkaz"/>
                <w:noProof/>
              </w:rPr>
              <w:t>Implementace směrnice ES a Rady o souborných službách cestovního ruchu a cestách s asistovanou přípravou</w:t>
            </w:r>
            <w:r w:rsidR="00515056">
              <w:rPr>
                <w:noProof/>
                <w:webHidden/>
              </w:rPr>
              <w:tab/>
            </w:r>
            <w:r>
              <w:rPr>
                <w:noProof/>
                <w:webHidden/>
              </w:rPr>
              <w:fldChar w:fldCharType="begin"/>
            </w:r>
            <w:r w:rsidR="00515056">
              <w:rPr>
                <w:noProof/>
                <w:webHidden/>
              </w:rPr>
              <w:instrText xml:space="preserve"> PAGEREF _Toc434585090 \h </w:instrText>
            </w:r>
            <w:r>
              <w:rPr>
                <w:noProof/>
                <w:webHidden/>
              </w:rPr>
            </w:r>
            <w:r>
              <w:rPr>
                <w:noProof/>
                <w:webHidden/>
              </w:rPr>
              <w:fldChar w:fldCharType="separate"/>
            </w:r>
            <w:r w:rsidR="00DC0529">
              <w:rPr>
                <w:noProof/>
                <w:webHidden/>
              </w:rPr>
              <w:t>10</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91" w:history="1">
            <w:r w:rsidR="00515056" w:rsidRPr="00305E3B">
              <w:rPr>
                <w:rStyle w:val="Hypertextovodkaz"/>
                <w:noProof/>
              </w:rPr>
              <w:t>2.2.</w:t>
            </w:r>
            <w:r w:rsidR="00515056">
              <w:rPr>
                <w:rFonts w:asciiTheme="minorHAnsi" w:eastAsiaTheme="minorEastAsia" w:hAnsiTheme="minorHAnsi" w:cstheme="minorBidi"/>
                <w:noProof/>
              </w:rPr>
              <w:tab/>
            </w:r>
            <w:r w:rsidR="00515056" w:rsidRPr="00305E3B">
              <w:rPr>
                <w:rStyle w:val="Hypertextovodkaz"/>
                <w:noProof/>
              </w:rPr>
              <w:t>Sdílená ekonomika</w:t>
            </w:r>
            <w:r w:rsidR="00515056">
              <w:rPr>
                <w:noProof/>
                <w:webHidden/>
              </w:rPr>
              <w:tab/>
            </w:r>
            <w:r>
              <w:rPr>
                <w:noProof/>
                <w:webHidden/>
              </w:rPr>
              <w:fldChar w:fldCharType="begin"/>
            </w:r>
            <w:r w:rsidR="00515056">
              <w:rPr>
                <w:noProof/>
                <w:webHidden/>
              </w:rPr>
              <w:instrText xml:space="preserve"> PAGEREF _Toc434585091 \h </w:instrText>
            </w:r>
            <w:r>
              <w:rPr>
                <w:noProof/>
                <w:webHidden/>
              </w:rPr>
            </w:r>
            <w:r>
              <w:rPr>
                <w:noProof/>
                <w:webHidden/>
              </w:rPr>
              <w:fldChar w:fldCharType="separate"/>
            </w:r>
            <w:r w:rsidR="00DC0529">
              <w:rPr>
                <w:noProof/>
                <w:webHidden/>
              </w:rPr>
              <w:t>11</w:t>
            </w:r>
            <w:r>
              <w:rPr>
                <w:noProof/>
                <w:webHidden/>
              </w:rPr>
              <w:fldChar w:fldCharType="end"/>
            </w:r>
          </w:hyperlink>
        </w:p>
        <w:p w:rsidR="00515056" w:rsidRDefault="00D95029">
          <w:pPr>
            <w:pStyle w:val="Obsah1"/>
            <w:tabs>
              <w:tab w:val="left" w:pos="440"/>
              <w:tab w:val="right" w:leader="dot" w:pos="9060"/>
            </w:tabs>
            <w:rPr>
              <w:rFonts w:asciiTheme="minorHAnsi" w:eastAsiaTheme="minorEastAsia" w:hAnsiTheme="minorHAnsi" w:cstheme="minorBidi"/>
              <w:noProof/>
            </w:rPr>
          </w:pPr>
          <w:hyperlink w:anchor="_Toc434585092" w:history="1">
            <w:r w:rsidR="00515056" w:rsidRPr="00305E3B">
              <w:rPr>
                <w:rStyle w:val="Hypertextovodkaz"/>
                <w:noProof/>
              </w:rPr>
              <w:t>3.</w:t>
            </w:r>
            <w:r w:rsidR="00515056">
              <w:rPr>
                <w:rFonts w:asciiTheme="minorHAnsi" w:eastAsiaTheme="minorEastAsia" w:hAnsiTheme="minorHAnsi" w:cstheme="minorBidi"/>
                <w:noProof/>
              </w:rPr>
              <w:tab/>
            </w:r>
            <w:r w:rsidR="00515056" w:rsidRPr="00305E3B">
              <w:rPr>
                <w:rStyle w:val="Hypertextovodkaz"/>
                <w:noProof/>
              </w:rPr>
              <w:t>Přílohy</w:t>
            </w:r>
            <w:r w:rsidR="00515056">
              <w:rPr>
                <w:noProof/>
                <w:webHidden/>
              </w:rPr>
              <w:tab/>
            </w:r>
            <w:r>
              <w:rPr>
                <w:noProof/>
                <w:webHidden/>
              </w:rPr>
              <w:fldChar w:fldCharType="begin"/>
            </w:r>
            <w:r w:rsidR="00515056">
              <w:rPr>
                <w:noProof/>
                <w:webHidden/>
              </w:rPr>
              <w:instrText xml:space="preserve"> PAGEREF _Toc434585092 \h </w:instrText>
            </w:r>
            <w:r>
              <w:rPr>
                <w:noProof/>
                <w:webHidden/>
              </w:rPr>
            </w:r>
            <w:r>
              <w:rPr>
                <w:noProof/>
                <w:webHidden/>
              </w:rPr>
              <w:fldChar w:fldCharType="separate"/>
            </w:r>
            <w:r w:rsidR="00DC0529">
              <w:rPr>
                <w:noProof/>
                <w:webHidden/>
              </w:rPr>
              <w:t>11</w:t>
            </w:r>
            <w:r>
              <w:rPr>
                <w:noProof/>
                <w:webHidden/>
              </w:rPr>
              <w:fldChar w:fldCharType="end"/>
            </w:r>
          </w:hyperlink>
        </w:p>
        <w:p w:rsidR="00515056" w:rsidRDefault="00D95029">
          <w:pPr>
            <w:pStyle w:val="Obsah2"/>
            <w:tabs>
              <w:tab w:val="left" w:pos="880"/>
              <w:tab w:val="right" w:leader="dot" w:pos="9060"/>
            </w:tabs>
            <w:rPr>
              <w:rFonts w:asciiTheme="minorHAnsi" w:eastAsiaTheme="minorEastAsia" w:hAnsiTheme="minorHAnsi" w:cstheme="minorBidi"/>
              <w:noProof/>
            </w:rPr>
          </w:pPr>
          <w:hyperlink w:anchor="_Toc434585093" w:history="1">
            <w:r w:rsidR="00515056" w:rsidRPr="00305E3B">
              <w:rPr>
                <w:rStyle w:val="Hypertextovodkaz"/>
                <w:noProof/>
              </w:rPr>
              <w:t>3.1.</w:t>
            </w:r>
            <w:r w:rsidR="00515056">
              <w:rPr>
                <w:rFonts w:asciiTheme="minorHAnsi" w:eastAsiaTheme="minorEastAsia" w:hAnsiTheme="minorHAnsi" w:cstheme="minorBidi"/>
                <w:noProof/>
              </w:rPr>
              <w:tab/>
            </w:r>
            <w:r w:rsidR="00515056" w:rsidRPr="00305E3B">
              <w:rPr>
                <w:rStyle w:val="Hypertextovodkaz"/>
                <w:noProof/>
              </w:rPr>
              <w:t>Cestovní ruch v ČR – časové řady</w:t>
            </w:r>
            <w:r w:rsidR="00515056">
              <w:rPr>
                <w:noProof/>
                <w:webHidden/>
              </w:rPr>
              <w:tab/>
            </w:r>
            <w:r>
              <w:rPr>
                <w:noProof/>
                <w:webHidden/>
              </w:rPr>
              <w:fldChar w:fldCharType="begin"/>
            </w:r>
            <w:r w:rsidR="00515056">
              <w:rPr>
                <w:noProof/>
                <w:webHidden/>
              </w:rPr>
              <w:instrText xml:space="preserve"> PAGEREF _Toc434585093 \h </w:instrText>
            </w:r>
            <w:r>
              <w:rPr>
                <w:noProof/>
                <w:webHidden/>
              </w:rPr>
            </w:r>
            <w:r>
              <w:rPr>
                <w:noProof/>
                <w:webHidden/>
              </w:rPr>
              <w:fldChar w:fldCharType="separate"/>
            </w:r>
            <w:r w:rsidR="00DC0529">
              <w:rPr>
                <w:noProof/>
                <w:webHidden/>
              </w:rPr>
              <w:t>11</w:t>
            </w:r>
            <w:r>
              <w:rPr>
                <w:noProof/>
                <w:webHidden/>
              </w:rPr>
              <w:fldChar w:fldCharType="end"/>
            </w:r>
          </w:hyperlink>
        </w:p>
        <w:p w:rsidR="00ED2E19" w:rsidRDefault="00D95029">
          <w:r>
            <w:rPr>
              <w:b/>
              <w:bCs/>
            </w:rPr>
            <w:fldChar w:fldCharType="end"/>
          </w:r>
        </w:p>
      </w:sdtContent>
    </w:sdt>
    <w:p w:rsidR="00372909" w:rsidRPr="00D0233F" w:rsidRDefault="00372909" w:rsidP="004D2A66">
      <w:pPr>
        <w:pStyle w:val="Nadpis1"/>
        <w:numPr>
          <w:ilvl w:val="0"/>
          <w:numId w:val="0"/>
        </w:numPr>
        <w:ind w:left="360" w:hanging="360"/>
      </w:pPr>
      <w:r w:rsidRPr="00D0233F">
        <w:br w:type="page"/>
      </w:r>
      <w:bookmarkStart w:id="7" w:name="_Toc434585081"/>
      <w:r w:rsidRPr="00D0233F">
        <w:lastRenderedPageBreak/>
        <w:t>Úvod</w:t>
      </w:r>
      <w:bookmarkEnd w:id="7"/>
    </w:p>
    <w:p w:rsidR="005919EA" w:rsidRDefault="00266258" w:rsidP="00372909">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 xml:space="preserve">Cestovní ruch má výrazné </w:t>
      </w:r>
      <w:proofErr w:type="spellStart"/>
      <w:r w:rsidRPr="00D0233F">
        <w:rPr>
          <w:rFonts w:ascii="Arial" w:hAnsi="Arial" w:cs="Arial"/>
          <w:sz w:val="20"/>
          <w:szCs w:val="20"/>
        </w:rPr>
        <w:t>socio</w:t>
      </w:r>
      <w:proofErr w:type="spellEnd"/>
      <w:r w:rsidRPr="00D0233F">
        <w:rPr>
          <w:rFonts w:ascii="Arial" w:hAnsi="Arial" w:cs="Arial"/>
          <w:sz w:val="20"/>
          <w:szCs w:val="20"/>
        </w:rPr>
        <w:t>-ekonomické přínosy s dopadem na rozvoj regionů, podporu infrastruktury, podporu investic, podnikatelských příležitostí i zaměstnanosti, podporu kvality života v</w:t>
      </w:r>
      <w:r w:rsidR="005919EA" w:rsidRPr="00D0233F">
        <w:rPr>
          <w:rFonts w:ascii="Arial" w:hAnsi="Arial" w:cs="Arial"/>
          <w:sz w:val="20"/>
          <w:szCs w:val="20"/>
        </w:rPr>
        <w:t> </w:t>
      </w:r>
      <w:r w:rsidRPr="00D0233F">
        <w:rPr>
          <w:rFonts w:ascii="Arial" w:hAnsi="Arial" w:cs="Arial"/>
          <w:sz w:val="20"/>
          <w:szCs w:val="20"/>
        </w:rPr>
        <w:t>reg</w:t>
      </w:r>
      <w:r w:rsidR="005919EA" w:rsidRPr="00D0233F">
        <w:rPr>
          <w:rFonts w:ascii="Arial" w:hAnsi="Arial" w:cs="Arial"/>
          <w:sz w:val="20"/>
          <w:szCs w:val="20"/>
        </w:rPr>
        <w:t>ionech a současně i</w:t>
      </w:r>
      <w:r w:rsidRPr="00D0233F">
        <w:rPr>
          <w:rFonts w:ascii="Arial" w:hAnsi="Arial" w:cs="Arial"/>
          <w:sz w:val="20"/>
          <w:szCs w:val="20"/>
        </w:rPr>
        <w:t xml:space="preserve"> podporu zachování kulturního a přírodního dědictví</w:t>
      </w:r>
      <w:r w:rsidR="005919EA" w:rsidRPr="00D0233F">
        <w:rPr>
          <w:rFonts w:ascii="Arial" w:hAnsi="Arial" w:cs="Arial"/>
          <w:sz w:val="20"/>
          <w:szCs w:val="20"/>
        </w:rPr>
        <w:t>.</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Vývoj odvětví cestovního ruchu a jeho význam pro národní hospodářství ČR lze patrně nejlépe demonstrovat na vývoji agregovaných ukazatelů Satelitního účtu cestovního ruchu ČR a jeho Modulu zaměstnanosti.</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I když podíl cestovního ruchu na celkovém HDP celého národního hospodářství dlouhodobě klesá (z</w:t>
      </w:r>
      <w:r>
        <w:rPr>
          <w:rFonts w:ascii="Arial" w:hAnsi="Arial" w:cs="Arial"/>
          <w:sz w:val="20"/>
          <w:szCs w:val="20"/>
        </w:rPr>
        <w:t> </w:t>
      </w:r>
      <w:r w:rsidRPr="00892B67">
        <w:rPr>
          <w:rFonts w:ascii="Arial" w:hAnsi="Arial" w:cs="Arial"/>
          <w:sz w:val="20"/>
          <w:szCs w:val="20"/>
        </w:rPr>
        <w:t xml:space="preserve">3,5 % v roce 2003 na 2,9 % v roce 2013), nejedná se v našem případě o negativní jev, neboť HDP cestovního ruchu absolutně roste (z 90,8 mld. Kč v roce 2003 na 117,9 mld. Kč v roce 2013), stejně jako výběr daní z cestovního ruchu (z 10,8 mld. v roce 2003 na skoro 16 mld. v roce 2013). Důvodem tohoto jevu je fakt, že celkový HDP roste výrazně rychleji zejména díky průmyslovým odvětvím (například automobilovému průmyslu) založených na pásové výrobě. S jejich produktivitou nemůže cestovní ruch soupeřit, neboť je založen většinou na službách poskytovaných často na míru individuálním potřebám zákazníků, které jsou náročné na kvalifikovanou lidskou práci. Ostatně vysoký podíl cestovního ruchu na HDP je spíše znakem „třetích zemí“ s rozvíjející se ekonomikou. </w:t>
      </w:r>
    </w:p>
    <w:p w:rsidR="00892B67" w:rsidRPr="00892B67"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V odvětví cestovního ruchu působí mnoho malých a středních podniků, které zaměstnávají velké množství pracovníků - a to i v regionech, kde by jinak hrozila vysoká míra nezaměstnanosti.</w:t>
      </w:r>
    </w:p>
    <w:p w:rsidR="00892B67" w:rsidRPr="00D0233F" w:rsidRDefault="00892B67" w:rsidP="00892B67">
      <w:pPr>
        <w:widowControl w:val="0"/>
        <w:autoSpaceDE w:val="0"/>
        <w:autoSpaceDN w:val="0"/>
        <w:adjustRightInd w:val="0"/>
        <w:spacing w:after="120"/>
        <w:rPr>
          <w:rFonts w:ascii="Arial" w:hAnsi="Arial" w:cs="Arial"/>
          <w:sz w:val="20"/>
          <w:szCs w:val="20"/>
        </w:rPr>
      </w:pPr>
      <w:r w:rsidRPr="00892B67">
        <w:rPr>
          <w:rFonts w:ascii="Arial" w:hAnsi="Arial" w:cs="Arial"/>
          <w:sz w:val="20"/>
          <w:szCs w:val="20"/>
        </w:rPr>
        <w:t>Absolutní počet zaměstnaných osob v CR i počet pracovních míst je od r. 2003 relativně stabilní (231,3 tis. osob v roce 2013 včetně pracujících majitelů firem a spolupracujících členů domácnosti a</w:t>
      </w:r>
      <w:r>
        <w:rPr>
          <w:rFonts w:ascii="Arial" w:hAnsi="Arial" w:cs="Arial"/>
          <w:sz w:val="20"/>
          <w:szCs w:val="20"/>
        </w:rPr>
        <w:t> </w:t>
      </w:r>
      <w:r w:rsidRPr="00892B67">
        <w:rPr>
          <w:rFonts w:ascii="Arial" w:hAnsi="Arial" w:cs="Arial"/>
          <w:sz w:val="20"/>
          <w:szCs w:val="20"/>
        </w:rPr>
        <w:t>230,1 tis. pracovních míst /přepočteno na plný úvazek/). Podíl zaměstnaných v CR na celkové zaměstnanosti do r. 2008 klesal (ze 4,74 % v r. 2003 na 4,48 %), za období 2009 - 2013 vzrostl na</w:t>
      </w:r>
      <w:r>
        <w:rPr>
          <w:rFonts w:ascii="Arial" w:hAnsi="Arial" w:cs="Arial"/>
          <w:sz w:val="20"/>
          <w:szCs w:val="20"/>
        </w:rPr>
        <w:t> </w:t>
      </w:r>
      <w:r w:rsidRPr="00892B67">
        <w:rPr>
          <w:rFonts w:ascii="Arial" w:hAnsi="Arial" w:cs="Arial"/>
          <w:sz w:val="20"/>
          <w:szCs w:val="20"/>
        </w:rPr>
        <w:t>4,59 %.</w:t>
      </w:r>
      <w:r>
        <w:rPr>
          <w:rFonts w:ascii="Arial" w:hAnsi="Arial" w:cs="Arial"/>
          <w:sz w:val="20"/>
          <w:szCs w:val="20"/>
        </w:rPr>
        <w:t xml:space="preserve"> </w:t>
      </w:r>
      <w:r w:rsidRPr="00D0233F">
        <w:rPr>
          <w:rFonts w:ascii="Arial" w:hAnsi="Arial" w:cs="Arial"/>
          <w:sz w:val="20"/>
          <w:szCs w:val="20"/>
        </w:rPr>
        <w:t xml:space="preserve">Počet zaměstnaných a </w:t>
      </w:r>
      <w:proofErr w:type="spellStart"/>
      <w:r w:rsidRPr="00D0233F">
        <w:rPr>
          <w:rFonts w:ascii="Arial" w:hAnsi="Arial" w:cs="Arial"/>
          <w:sz w:val="20"/>
          <w:szCs w:val="20"/>
        </w:rPr>
        <w:t>sebezaměstnaných</w:t>
      </w:r>
      <w:proofErr w:type="spellEnd"/>
      <w:r w:rsidRPr="00D0233F">
        <w:rPr>
          <w:rFonts w:ascii="Arial" w:hAnsi="Arial" w:cs="Arial"/>
          <w:sz w:val="20"/>
          <w:szCs w:val="20"/>
        </w:rPr>
        <w:t xml:space="preserve"> osob pracujících v odvětví cestovního ruchu odpovídá celkovému počtu zaměstnaných osob v TOP 25 největších podnicích působících v ČR.</w:t>
      </w:r>
    </w:p>
    <w:p w:rsidR="00D1549D" w:rsidRDefault="00D1549D" w:rsidP="00372909">
      <w:pPr>
        <w:widowControl w:val="0"/>
        <w:autoSpaceDE w:val="0"/>
        <w:autoSpaceDN w:val="0"/>
        <w:adjustRightInd w:val="0"/>
        <w:spacing w:after="120"/>
        <w:rPr>
          <w:rFonts w:ascii="Arial" w:hAnsi="Arial" w:cs="Arial"/>
          <w:sz w:val="20"/>
          <w:szCs w:val="20"/>
        </w:rPr>
      </w:pPr>
      <w:r w:rsidRPr="00D1549D">
        <w:rPr>
          <w:rFonts w:ascii="Arial" w:hAnsi="Arial" w:cs="Arial"/>
          <w:sz w:val="20"/>
          <w:szCs w:val="20"/>
        </w:rPr>
        <w:t>V roce 2014 navštívilo hromadná ubytovací zařízení ČR více než 15,5 mil. hostů, z nichž ale bylo skoro 8,1 mil. cizinců (51,9 %). Počet příjezdů rezidentů i nerezidentů jen mírně vzrostl ve zmíněném roce oproti roku předchozímu, nicméně v 1. pololetí tohoto roku vzrostl celkový počet turistů v hromadném ubytování meziročně o 9,5 %. Průměrná délka pobytu v HUZ ČR činila v 1. pololetí 2015 shodně u nerezidentů i rezidentů 3,7 dne.</w:t>
      </w:r>
    </w:p>
    <w:tbl>
      <w:tblPr>
        <w:tblW w:w="10929" w:type="dxa"/>
        <w:jc w:val="center"/>
        <w:tblCellMar>
          <w:left w:w="70" w:type="dxa"/>
          <w:right w:w="70" w:type="dxa"/>
        </w:tblCellMar>
        <w:tblLook w:val="0000"/>
      </w:tblPr>
      <w:tblGrid>
        <w:gridCol w:w="1069"/>
        <w:gridCol w:w="1205"/>
        <w:gridCol w:w="1094"/>
        <w:gridCol w:w="1326"/>
        <w:gridCol w:w="1290"/>
        <w:gridCol w:w="1058"/>
        <w:gridCol w:w="1241"/>
        <w:gridCol w:w="1449"/>
        <w:gridCol w:w="1351"/>
      </w:tblGrid>
      <w:tr w:rsidR="00D1549D" w:rsidRPr="007C3574" w:rsidTr="00D1549D">
        <w:trPr>
          <w:trHeight w:val="1348"/>
          <w:jc w:val="center"/>
        </w:trPr>
        <w:tc>
          <w:tcPr>
            <w:tcW w:w="1069" w:type="dxa"/>
            <w:tcBorders>
              <w:top w:val="single" w:sz="12" w:space="0" w:color="auto"/>
              <w:left w:val="single" w:sz="12" w:space="0" w:color="auto"/>
              <w:bottom w:val="single" w:sz="12" w:space="0" w:color="auto"/>
              <w:right w:val="single" w:sz="12" w:space="0" w:color="auto"/>
            </w:tcBorders>
            <w:shd w:val="clear" w:color="auto" w:fill="92D050"/>
            <w:vAlign w:val="center"/>
          </w:tcPr>
          <w:p w:rsidR="00D1549D" w:rsidRPr="007C3574" w:rsidRDefault="00D1549D" w:rsidP="00AB24B2">
            <w:pPr>
              <w:rPr>
                <w:rFonts w:ascii="Arial" w:hAnsi="Arial" w:cs="Arial"/>
              </w:rPr>
            </w:pPr>
          </w:p>
        </w:tc>
        <w:tc>
          <w:tcPr>
            <w:tcW w:w="1205" w:type="dxa"/>
            <w:tcBorders>
              <w:top w:val="single" w:sz="12" w:space="0" w:color="auto"/>
              <w:left w:val="single" w:sz="12" w:space="0" w:color="auto"/>
              <w:bottom w:val="single" w:sz="12" w:space="0" w:color="auto"/>
              <w:right w:val="single" w:sz="4" w:space="0" w:color="auto"/>
            </w:tcBorders>
            <w:shd w:val="clear" w:color="auto" w:fill="92D050"/>
            <w:vAlign w:val="center"/>
          </w:tcPr>
          <w:p w:rsidR="00D1549D" w:rsidRPr="007C3574" w:rsidRDefault="00D1549D" w:rsidP="00AB24B2">
            <w:pPr>
              <w:jc w:val="center"/>
              <w:rPr>
                <w:rFonts w:ascii="Arial" w:hAnsi="Arial" w:cs="Arial"/>
                <w:b/>
              </w:rPr>
            </w:pPr>
            <w:r w:rsidRPr="007C3574">
              <w:rPr>
                <w:rFonts w:ascii="Arial" w:hAnsi="Arial" w:cs="Arial"/>
                <w:b/>
              </w:rPr>
              <w:t>Počet</w:t>
            </w:r>
            <w:r w:rsidRPr="007C3574">
              <w:rPr>
                <w:rFonts w:ascii="Arial" w:hAnsi="Arial" w:cs="Arial"/>
                <w:b/>
              </w:rPr>
              <w:br/>
              <w:t>hostů</w:t>
            </w:r>
          </w:p>
        </w:tc>
        <w:tc>
          <w:tcPr>
            <w:tcW w:w="1094" w:type="dxa"/>
            <w:tcBorders>
              <w:top w:val="single" w:sz="12" w:space="0" w:color="auto"/>
              <w:left w:val="nil"/>
              <w:bottom w:val="single" w:sz="12" w:space="0" w:color="auto"/>
              <w:right w:val="single" w:sz="4"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rPr>
              <w:t>Meziroční</w:t>
            </w:r>
            <w:r>
              <w:rPr>
                <w:rFonts w:ascii="Arial" w:hAnsi="Arial" w:cs="Arial"/>
              </w:rPr>
              <w:t xml:space="preserve"> </w:t>
            </w:r>
            <w:r w:rsidRPr="007C3574">
              <w:rPr>
                <w:rFonts w:ascii="Arial" w:hAnsi="Arial" w:cs="Arial"/>
              </w:rPr>
              <w:t>index počtu hostů</w:t>
            </w:r>
          </w:p>
        </w:tc>
        <w:tc>
          <w:tcPr>
            <w:tcW w:w="1326" w:type="dxa"/>
            <w:tcBorders>
              <w:top w:val="single" w:sz="12" w:space="0" w:color="auto"/>
              <w:left w:val="nil"/>
              <w:bottom w:val="single" w:sz="12" w:space="0" w:color="auto"/>
              <w:right w:val="single" w:sz="4" w:space="0" w:color="auto"/>
            </w:tcBorders>
            <w:shd w:val="clear" w:color="auto" w:fill="92D050"/>
            <w:vAlign w:val="center"/>
          </w:tcPr>
          <w:p w:rsidR="00D1549D" w:rsidRPr="005A5C6F" w:rsidRDefault="00D1549D" w:rsidP="00AB24B2">
            <w:pPr>
              <w:jc w:val="center"/>
              <w:rPr>
                <w:rFonts w:ascii="Arial" w:hAnsi="Arial" w:cs="Arial"/>
                <w:b/>
              </w:rPr>
            </w:pPr>
            <w:r w:rsidRPr="005A5C6F">
              <w:rPr>
                <w:rFonts w:ascii="Arial" w:hAnsi="Arial" w:cs="Arial"/>
                <w:b/>
              </w:rPr>
              <w:t>Nerezidenti</w:t>
            </w:r>
          </w:p>
        </w:tc>
        <w:tc>
          <w:tcPr>
            <w:tcW w:w="1290" w:type="dxa"/>
            <w:tcBorders>
              <w:top w:val="single" w:sz="12" w:space="0" w:color="auto"/>
              <w:left w:val="nil"/>
              <w:bottom w:val="single" w:sz="12" w:space="0" w:color="auto"/>
              <w:right w:val="single" w:sz="4"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rPr>
              <w:t>Meziroční index počtu nerezidentů</w:t>
            </w:r>
          </w:p>
        </w:tc>
        <w:tc>
          <w:tcPr>
            <w:tcW w:w="1058" w:type="dxa"/>
            <w:tcBorders>
              <w:top w:val="single" w:sz="12" w:space="0" w:color="auto"/>
              <w:left w:val="single" w:sz="4" w:space="0" w:color="auto"/>
              <w:bottom w:val="single" w:sz="12" w:space="0" w:color="auto"/>
              <w:right w:val="single" w:sz="4"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rPr>
              <w:t>Rezidenti</w:t>
            </w:r>
          </w:p>
        </w:tc>
        <w:tc>
          <w:tcPr>
            <w:tcW w:w="1241" w:type="dxa"/>
            <w:tcBorders>
              <w:top w:val="single" w:sz="12" w:space="0" w:color="auto"/>
              <w:left w:val="nil"/>
              <w:bottom w:val="single" w:sz="12" w:space="0" w:color="auto"/>
              <w:right w:val="single" w:sz="12"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rPr>
              <w:t>Meziroční index počtu rezidentů</w:t>
            </w:r>
          </w:p>
        </w:tc>
        <w:tc>
          <w:tcPr>
            <w:tcW w:w="1449" w:type="dxa"/>
            <w:tcBorders>
              <w:top w:val="single" w:sz="12" w:space="0" w:color="auto"/>
              <w:left w:val="single" w:sz="12" w:space="0" w:color="auto"/>
              <w:bottom w:val="single" w:sz="12" w:space="0" w:color="auto"/>
              <w:right w:val="single" w:sz="4"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b/>
              </w:rPr>
              <w:t>Počet přenocován</w:t>
            </w:r>
            <w:r w:rsidRPr="007C3574">
              <w:rPr>
                <w:rFonts w:ascii="Arial" w:hAnsi="Arial" w:cs="Arial"/>
              </w:rPr>
              <w:t>í</w:t>
            </w:r>
          </w:p>
        </w:tc>
        <w:tc>
          <w:tcPr>
            <w:tcW w:w="1197" w:type="dxa"/>
            <w:tcBorders>
              <w:top w:val="single" w:sz="12" w:space="0" w:color="auto"/>
              <w:left w:val="nil"/>
              <w:bottom w:val="single" w:sz="12" w:space="0" w:color="auto"/>
              <w:right w:val="single" w:sz="12" w:space="0" w:color="auto"/>
            </w:tcBorders>
            <w:shd w:val="clear" w:color="auto" w:fill="92D050"/>
            <w:vAlign w:val="center"/>
          </w:tcPr>
          <w:p w:rsidR="00D1549D" w:rsidRPr="007C3574" w:rsidRDefault="00D1549D" w:rsidP="00AB24B2">
            <w:pPr>
              <w:jc w:val="center"/>
              <w:rPr>
                <w:rFonts w:ascii="Arial" w:hAnsi="Arial" w:cs="Arial"/>
              </w:rPr>
            </w:pPr>
            <w:r w:rsidRPr="007C3574">
              <w:rPr>
                <w:rFonts w:ascii="Arial" w:hAnsi="Arial" w:cs="Arial"/>
              </w:rPr>
              <w:t>Meziroční index počtu přenocování</w:t>
            </w:r>
          </w:p>
        </w:tc>
      </w:tr>
      <w:tr w:rsidR="00D1549D" w:rsidTr="00AB24B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7C3574" w:rsidRDefault="00D1549D" w:rsidP="00AB24B2">
            <w:pPr>
              <w:jc w:val="center"/>
              <w:rPr>
                <w:rFonts w:ascii="Arial" w:hAnsi="Arial" w:cs="Arial"/>
              </w:rPr>
            </w:pPr>
            <w:r w:rsidRPr="007C3574">
              <w:rPr>
                <w:rFonts w:ascii="Arial" w:hAnsi="Arial" w:cs="Arial"/>
              </w:rPr>
              <w:t>2012*</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15 098 817</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81C5D" w:rsidRDefault="00D1549D" w:rsidP="00AB24B2">
            <w:pPr>
              <w:jc w:val="right"/>
              <w:rPr>
                <w:rFonts w:ascii="Arial CE" w:hAnsi="Arial CE" w:cs="Arial CE"/>
                <w:b/>
                <w:sz w:val="20"/>
                <w:szCs w:val="20"/>
              </w:rPr>
            </w:pPr>
            <w:r w:rsidRPr="00381C5D">
              <w:rPr>
                <w:rFonts w:ascii="Arial CE" w:hAnsi="Arial CE" w:cs="Arial CE"/>
                <w:b/>
                <w:sz w:val="20"/>
                <w:szCs w:val="20"/>
              </w:rPr>
              <w:t>7 647 044</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7 451 773</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43 278 457</w:t>
            </w:r>
          </w:p>
        </w:tc>
        <w:tc>
          <w:tcPr>
            <w:tcW w:w="1197"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w:t>
            </w:r>
          </w:p>
        </w:tc>
      </w:tr>
      <w:tr w:rsidR="00D1549D" w:rsidTr="00AB24B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7C3574" w:rsidRDefault="00D1549D" w:rsidP="00AB24B2">
            <w:pPr>
              <w:jc w:val="center"/>
              <w:rPr>
                <w:rFonts w:ascii="Arial" w:hAnsi="Arial" w:cs="Arial"/>
              </w:rPr>
            </w:pPr>
            <w:r w:rsidRPr="007C3574">
              <w:rPr>
                <w:rFonts w:ascii="Arial" w:hAnsi="Arial" w:cs="Arial"/>
              </w:rPr>
              <w:t>2013</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15 407 671</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102,0</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81C5D" w:rsidRDefault="00D1549D" w:rsidP="00AB24B2">
            <w:pPr>
              <w:jc w:val="right"/>
              <w:rPr>
                <w:rFonts w:ascii="Arial CE" w:hAnsi="Arial CE" w:cs="Arial CE"/>
                <w:b/>
                <w:sz w:val="20"/>
                <w:szCs w:val="20"/>
              </w:rPr>
            </w:pPr>
            <w:r w:rsidRPr="00381C5D">
              <w:rPr>
                <w:rFonts w:ascii="Arial CE" w:hAnsi="Arial CE" w:cs="Arial CE"/>
                <w:b/>
                <w:sz w:val="20"/>
                <w:szCs w:val="20"/>
              </w:rPr>
              <w:t>7 851 865</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102,7</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7 555 806</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101,4</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43 308 279</w:t>
            </w:r>
          </w:p>
        </w:tc>
        <w:tc>
          <w:tcPr>
            <w:tcW w:w="1197"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100,1</w:t>
            </w:r>
          </w:p>
        </w:tc>
      </w:tr>
      <w:tr w:rsidR="00D1549D" w:rsidTr="00AB24B2">
        <w:trPr>
          <w:trHeight w:val="330"/>
          <w:jc w:val="center"/>
        </w:trPr>
        <w:tc>
          <w:tcPr>
            <w:tcW w:w="1069"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1549D" w:rsidRPr="007C3574" w:rsidRDefault="00D1549D" w:rsidP="00AB24B2">
            <w:pPr>
              <w:jc w:val="center"/>
              <w:rPr>
                <w:rFonts w:ascii="Arial" w:hAnsi="Arial" w:cs="Arial"/>
              </w:rPr>
            </w:pPr>
            <w:r w:rsidRPr="007C3574">
              <w:rPr>
                <w:rFonts w:ascii="Arial" w:hAnsi="Arial" w:cs="Arial"/>
              </w:rPr>
              <w:t>2014</w:t>
            </w:r>
          </w:p>
        </w:tc>
        <w:tc>
          <w:tcPr>
            <w:tcW w:w="1205"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15 587 076</w:t>
            </w:r>
          </w:p>
        </w:tc>
        <w:tc>
          <w:tcPr>
            <w:tcW w:w="109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101,2</w:t>
            </w:r>
          </w:p>
        </w:tc>
        <w:tc>
          <w:tcPr>
            <w:tcW w:w="13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Pr="00381C5D" w:rsidRDefault="00D1549D" w:rsidP="00AB24B2">
            <w:pPr>
              <w:jc w:val="right"/>
              <w:rPr>
                <w:rFonts w:ascii="Arial CE" w:hAnsi="Arial CE" w:cs="Arial CE"/>
                <w:b/>
                <w:sz w:val="20"/>
                <w:szCs w:val="20"/>
              </w:rPr>
            </w:pPr>
            <w:r w:rsidRPr="00381C5D">
              <w:rPr>
                <w:rFonts w:ascii="Arial CE" w:hAnsi="Arial CE" w:cs="Arial CE"/>
                <w:b/>
                <w:sz w:val="20"/>
                <w:szCs w:val="20"/>
              </w:rPr>
              <w:t>8 095 885</w:t>
            </w:r>
          </w:p>
        </w:tc>
        <w:tc>
          <w:tcPr>
            <w:tcW w:w="129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103,1</w:t>
            </w:r>
          </w:p>
        </w:tc>
        <w:tc>
          <w:tcPr>
            <w:tcW w:w="105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7 491 191</w:t>
            </w:r>
          </w:p>
        </w:tc>
        <w:tc>
          <w:tcPr>
            <w:tcW w:w="1241" w:type="dxa"/>
            <w:tcBorders>
              <w:top w:val="single" w:sz="4" w:space="0" w:color="auto"/>
              <w:left w:val="single" w:sz="4" w:space="0" w:color="auto"/>
              <w:bottom w:val="single" w:sz="4" w:space="0" w:color="auto"/>
              <w:right w:val="single" w:sz="12"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99,1</w:t>
            </w:r>
          </w:p>
        </w:tc>
        <w:tc>
          <w:tcPr>
            <w:tcW w:w="144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42 946 929</w:t>
            </w:r>
          </w:p>
        </w:tc>
        <w:tc>
          <w:tcPr>
            <w:tcW w:w="1197" w:type="dxa"/>
            <w:tcBorders>
              <w:top w:val="single" w:sz="4" w:space="0" w:color="auto"/>
              <w:left w:val="single" w:sz="4" w:space="0" w:color="auto"/>
              <w:bottom w:val="single" w:sz="4" w:space="0" w:color="auto"/>
              <w:right w:val="single" w:sz="12"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99,2</w:t>
            </w:r>
          </w:p>
        </w:tc>
      </w:tr>
      <w:tr w:rsidR="00D1549D" w:rsidTr="00AB24B2">
        <w:trPr>
          <w:trHeight w:val="330"/>
          <w:jc w:val="center"/>
        </w:trPr>
        <w:tc>
          <w:tcPr>
            <w:tcW w:w="1069"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1549D" w:rsidRPr="007C3574" w:rsidRDefault="00D1549D" w:rsidP="00AB24B2">
            <w:pPr>
              <w:jc w:val="center"/>
              <w:rPr>
                <w:rFonts w:ascii="Arial" w:hAnsi="Arial" w:cs="Arial"/>
                <w:i/>
                <w:iCs/>
              </w:rPr>
            </w:pPr>
            <w:r w:rsidRPr="007C3574">
              <w:rPr>
                <w:rFonts w:ascii="Arial" w:hAnsi="Arial" w:cs="Arial"/>
                <w:i/>
                <w:iCs/>
              </w:rPr>
              <w:t>1. pololetí 2015</w:t>
            </w:r>
          </w:p>
        </w:tc>
        <w:tc>
          <w:tcPr>
            <w:tcW w:w="1205"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7 440 118</w:t>
            </w:r>
          </w:p>
        </w:tc>
        <w:tc>
          <w:tcPr>
            <w:tcW w:w="1094"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109,5</w:t>
            </w:r>
          </w:p>
        </w:tc>
        <w:tc>
          <w:tcPr>
            <w:tcW w:w="1326"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D1549D" w:rsidRPr="00381C5D" w:rsidRDefault="00D1549D" w:rsidP="00AB24B2">
            <w:pPr>
              <w:jc w:val="right"/>
              <w:rPr>
                <w:rFonts w:ascii="Arial CE" w:hAnsi="Arial CE" w:cs="Arial CE"/>
                <w:b/>
                <w:sz w:val="20"/>
                <w:szCs w:val="20"/>
              </w:rPr>
            </w:pPr>
            <w:r w:rsidRPr="00381C5D">
              <w:rPr>
                <w:rFonts w:ascii="Arial CE" w:hAnsi="Arial CE" w:cs="Arial CE"/>
                <w:b/>
                <w:sz w:val="20"/>
                <w:szCs w:val="20"/>
              </w:rPr>
              <w:t>3 884 181</w:t>
            </w:r>
          </w:p>
        </w:tc>
        <w:tc>
          <w:tcPr>
            <w:tcW w:w="1290"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107,9</w:t>
            </w:r>
          </w:p>
        </w:tc>
        <w:tc>
          <w:tcPr>
            <w:tcW w:w="1058" w:type="dxa"/>
            <w:tcBorders>
              <w:top w:val="single" w:sz="4" w:space="0" w:color="auto"/>
              <w:left w:val="single" w:sz="4" w:space="0" w:color="auto"/>
              <w:bottom w:val="single" w:sz="12" w:space="0" w:color="auto"/>
              <w:right w:val="single" w:sz="4"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3 555 937</w:t>
            </w:r>
          </w:p>
        </w:tc>
        <w:tc>
          <w:tcPr>
            <w:tcW w:w="1241" w:type="dxa"/>
            <w:tcBorders>
              <w:top w:val="single" w:sz="4" w:space="0" w:color="auto"/>
              <w:left w:val="single" w:sz="4" w:space="0" w:color="auto"/>
              <w:bottom w:val="single" w:sz="12" w:space="0" w:color="auto"/>
              <w:right w:val="single" w:sz="12" w:space="0" w:color="auto"/>
            </w:tcBorders>
            <w:shd w:val="clear" w:color="auto" w:fill="FFFFFF"/>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111,3</w:t>
            </w:r>
          </w:p>
        </w:tc>
        <w:tc>
          <w:tcPr>
            <w:tcW w:w="1449"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19 994 511</w:t>
            </w:r>
          </w:p>
        </w:tc>
        <w:tc>
          <w:tcPr>
            <w:tcW w:w="1197"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D1549D" w:rsidRDefault="00D1549D" w:rsidP="00AB24B2">
            <w:pPr>
              <w:jc w:val="right"/>
              <w:rPr>
                <w:rFonts w:ascii="Arial CE" w:hAnsi="Arial CE" w:cs="Arial CE"/>
                <w:sz w:val="20"/>
                <w:szCs w:val="20"/>
              </w:rPr>
            </w:pPr>
            <w:r>
              <w:rPr>
                <w:rFonts w:ascii="Arial CE" w:hAnsi="Arial CE" w:cs="Arial CE"/>
                <w:sz w:val="20"/>
                <w:szCs w:val="20"/>
              </w:rPr>
              <w:t>108,2</w:t>
            </w:r>
          </w:p>
        </w:tc>
      </w:tr>
    </w:tbl>
    <w:p w:rsidR="00D1549D" w:rsidRDefault="00D1549D" w:rsidP="00372909">
      <w:pPr>
        <w:widowControl w:val="0"/>
        <w:autoSpaceDE w:val="0"/>
        <w:autoSpaceDN w:val="0"/>
        <w:adjustRightInd w:val="0"/>
        <w:spacing w:after="120"/>
        <w:rPr>
          <w:rFonts w:ascii="Arial" w:hAnsi="Arial" w:cs="Arial"/>
          <w:sz w:val="20"/>
          <w:szCs w:val="20"/>
        </w:rPr>
      </w:pPr>
    </w:p>
    <w:p w:rsidR="00FE604E" w:rsidRPr="00D0233F" w:rsidRDefault="005919EA" w:rsidP="00D1549D">
      <w:pPr>
        <w:keepNext/>
        <w:keepLines/>
        <w:widowControl w:val="0"/>
        <w:autoSpaceDE w:val="0"/>
        <w:autoSpaceDN w:val="0"/>
        <w:adjustRightInd w:val="0"/>
        <w:spacing w:after="120"/>
        <w:rPr>
          <w:rFonts w:ascii="Arial" w:hAnsi="Arial" w:cs="Arial"/>
          <w:sz w:val="20"/>
          <w:szCs w:val="20"/>
        </w:rPr>
      </w:pPr>
      <w:r w:rsidRPr="00D0233F">
        <w:rPr>
          <w:rFonts w:ascii="Arial" w:hAnsi="Arial" w:cs="Arial"/>
          <w:sz w:val="20"/>
          <w:szCs w:val="20"/>
        </w:rPr>
        <w:lastRenderedPageBreak/>
        <w:t>Zachování přínosů cestovního ruchu a jeho další rozvoj jsou hlavním cílem státní politiky cestovního ruchu. V současné době je státní politika cestovního ruchu definovaná Koncepcí státní politiky cestovního ruchu ČR na období 2014-2020</w:t>
      </w:r>
      <w:r w:rsidR="00FE604E" w:rsidRPr="00D0233F">
        <w:rPr>
          <w:rFonts w:ascii="Arial" w:hAnsi="Arial" w:cs="Arial"/>
          <w:sz w:val="20"/>
          <w:szCs w:val="20"/>
        </w:rPr>
        <w:t xml:space="preserve"> (schválené usnesením vlády č. 220 ze dne 27. března 2013)</w:t>
      </w:r>
      <w:r w:rsidRPr="00D0233F">
        <w:rPr>
          <w:rFonts w:ascii="Arial" w:hAnsi="Arial" w:cs="Arial"/>
          <w:sz w:val="20"/>
          <w:szCs w:val="20"/>
        </w:rPr>
        <w:t xml:space="preserve">. </w:t>
      </w:r>
      <w:r w:rsidR="00FE604E" w:rsidRPr="00D0233F">
        <w:rPr>
          <w:rFonts w:ascii="Arial" w:hAnsi="Arial" w:cs="Arial"/>
          <w:sz w:val="20"/>
          <w:szCs w:val="20"/>
        </w:rPr>
        <w:t>Na zpracování a projednávání Koncepce se podíleli zástupci státní správy a samosprávy včetně subjektů cestovního ruchu (profesní asociace, akademická sféra, destinační společnosti), ale i zástupci odborů.</w:t>
      </w:r>
      <w:r w:rsidR="007E7DB6" w:rsidRPr="00D0233F">
        <w:rPr>
          <w:rFonts w:ascii="Arial" w:hAnsi="Arial" w:cs="Arial"/>
          <w:sz w:val="20"/>
          <w:szCs w:val="20"/>
        </w:rPr>
        <w:t xml:space="preserve"> Přehled priorit a opatření Koncepce viz tabulka níže.</w:t>
      </w:r>
    </w:p>
    <w:tbl>
      <w:tblPr>
        <w:tblStyle w:val="Mkatabulky"/>
        <w:tblW w:w="9322" w:type="dxa"/>
        <w:tblLook w:val="04A0"/>
      </w:tblPr>
      <w:tblGrid>
        <w:gridCol w:w="4361"/>
        <w:gridCol w:w="4961"/>
      </w:tblGrid>
      <w:tr w:rsidR="00FE604E" w:rsidRPr="00D0233F" w:rsidTr="00041ACB">
        <w:tc>
          <w:tcPr>
            <w:tcW w:w="4361" w:type="dxa"/>
            <w:shd w:val="clear" w:color="auto" w:fill="92D050"/>
          </w:tcPr>
          <w:p w:rsidR="00FE604E" w:rsidRPr="00D0233F" w:rsidRDefault="00FE604E" w:rsidP="007E7DB6">
            <w:pPr>
              <w:widowControl w:val="0"/>
              <w:autoSpaceDE w:val="0"/>
              <w:autoSpaceDN w:val="0"/>
              <w:adjustRightInd w:val="0"/>
              <w:spacing w:after="120"/>
              <w:jc w:val="center"/>
              <w:rPr>
                <w:rFonts w:ascii="Arial" w:hAnsi="Arial" w:cs="Arial"/>
                <w:b/>
                <w:sz w:val="20"/>
                <w:szCs w:val="20"/>
              </w:rPr>
            </w:pPr>
            <w:r w:rsidRPr="00D0233F">
              <w:rPr>
                <w:rFonts w:ascii="Arial" w:hAnsi="Arial" w:cs="Arial"/>
                <w:b/>
                <w:sz w:val="20"/>
                <w:szCs w:val="20"/>
              </w:rPr>
              <w:t>Priority</w:t>
            </w:r>
          </w:p>
        </w:tc>
        <w:tc>
          <w:tcPr>
            <w:tcW w:w="4961" w:type="dxa"/>
            <w:shd w:val="clear" w:color="auto" w:fill="92D050"/>
          </w:tcPr>
          <w:p w:rsidR="00FE604E" w:rsidRPr="00D0233F" w:rsidRDefault="00FE604E" w:rsidP="007E7DB6">
            <w:pPr>
              <w:widowControl w:val="0"/>
              <w:autoSpaceDE w:val="0"/>
              <w:autoSpaceDN w:val="0"/>
              <w:adjustRightInd w:val="0"/>
              <w:spacing w:after="120"/>
              <w:jc w:val="center"/>
              <w:rPr>
                <w:rFonts w:ascii="Arial" w:hAnsi="Arial" w:cs="Arial"/>
                <w:b/>
                <w:sz w:val="20"/>
                <w:szCs w:val="20"/>
              </w:rPr>
            </w:pPr>
            <w:r w:rsidRPr="00D0233F">
              <w:rPr>
                <w:rFonts w:ascii="Arial" w:hAnsi="Arial" w:cs="Arial"/>
                <w:b/>
                <w:sz w:val="20"/>
                <w:szCs w:val="20"/>
              </w:rPr>
              <w:t>Opatření</w:t>
            </w:r>
          </w:p>
        </w:tc>
      </w:tr>
      <w:tr w:rsidR="00FE604E" w:rsidRPr="00D0233F" w:rsidTr="007E7DB6">
        <w:tc>
          <w:tcPr>
            <w:tcW w:w="4361" w:type="dxa"/>
            <w:vAlign w:val="center"/>
          </w:tcPr>
          <w:p w:rsidR="00FE604E" w:rsidRPr="00D0233F" w:rsidRDefault="00FE604E" w:rsidP="0070390A">
            <w:pPr>
              <w:pStyle w:val="Odstavecseseznamem"/>
              <w:widowControl w:val="0"/>
              <w:numPr>
                <w:ilvl w:val="0"/>
                <w:numId w:val="15"/>
              </w:numPr>
              <w:autoSpaceDE w:val="0"/>
              <w:autoSpaceDN w:val="0"/>
              <w:adjustRightInd w:val="0"/>
              <w:jc w:val="left"/>
              <w:rPr>
                <w:rFonts w:ascii="Arial" w:hAnsi="Arial" w:cs="Arial"/>
                <w:sz w:val="20"/>
                <w:szCs w:val="20"/>
              </w:rPr>
            </w:pPr>
            <w:r w:rsidRPr="00D0233F">
              <w:rPr>
                <w:rFonts w:ascii="Arial" w:hAnsi="Arial" w:cs="Arial"/>
                <w:sz w:val="20"/>
                <w:szCs w:val="20"/>
              </w:rPr>
              <w:t>Zkvalitnění nabídky cestovního ruchu</w:t>
            </w:r>
          </w:p>
        </w:tc>
        <w:tc>
          <w:tcPr>
            <w:tcW w:w="4961" w:type="dxa"/>
          </w:tcPr>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Zkvalitňování podnikatelského prostředí v CR</w:t>
            </w:r>
          </w:p>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Výstavba a modernizace základní a</w:t>
            </w:r>
            <w:r w:rsidR="007E7DB6" w:rsidRPr="00D0233F">
              <w:rPr>
                <w:rFonts w:ascii="Arial" w:hAnsi="Arial" w:cs="Arial"/>
                <w:sz w:val="20"/>
                <w:szCs w:val="20"/>
              </w:rPr>
              <w:t> </w:t>
            </w:r>
            <w:r w:rsidRPr="00D0233F">
              <w:rPr>
                <w:rFonts w:ascii="Arial" w:hAnsi="Arial" w:cs="Arial"/>
                <w:sz w:val="20"/>
                <w:szCs w:val="20"/>
              </w:rPr>
              <w:t>doprovodné infrastruktury CR</w:t>
            </w:r>
          </w:p>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Zkvalitnění nabídky služeb CR</w:t>
            </w:r>
          </w:p>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Zkvalitnění nabídky primárního potenciálu</w:t>
            </w:r>
          </w:p>
        </w:tc>
      </w:tr>
      <w:tr w:rsidR="00FE604E" w:rsidRPr="00D0233F" w:rsidTr="007E7DB6">
        <w:tc>
          <w:tcPr>
            <w:tcW w:w="4361" w:type="dxa"/>
            <w:vAlign w:val="center"/>
          </w:tcPr>
          <w:p w:rsidR="00FE604E" w:rsidRPr="00D0233F" w:rsidRDefault="00FE604E" w:rsidP="0070390A">
            <w:pPr>
              <w:pStyle w:val="Odstavecseseznamem"/>
              <w:widowControl w:val="0"/>
              <w:numPr>
                <w:ilvl w:val="0"/>
                <w:numId w:val="15"/>
              </w:numPr>
              <w:autoSpaceDE w:val="0"/>
              <w:autoSpaceDN w:val="0"/>
              <w:adjustRightInd w:val="0"/>
              <w:jc w:val="left"/>
              <w:rPr>
                <w:rFonts w:ascii="Arial" w:hAnsi="Arial" w:cs="Arial"/>
                <w:sz w:val="20"/>
                <w:szCs w:val="20"/>
              </w:rPr>
            </w:pPr>
            <w:r w:rsidRPr="00D0233F">
              <w:rPr>
                <w:rFonts w:ascii="Arial" w:hAnsi="Arial" w:cs="Arial"/>
                <w:sz w:val="20"/>
                <w:szCs w:val="20"/>
              </w:rPr>
              <w:t>Management cestovního ruchu</w:t>
            </w:r>
          </w:p>
        </w:tc>
        <w:tc>
          <w:tcPr>
            <w:tcW w:w="4961" w:type="dxa"/>
          </w:tcPr>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Podpora činností destinačních společností</w:t>
            </w:r>
          </w:p>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Posílení a inovace řízení destinace</w:t>
            </w:r>
          </w:p>
          <w:p w:rsidR="00FE604E" w:rsidRPr="00D0233F" w:rsidRDefault="00FE604E"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Rozvoj lidských zdrojů</w:t>
            </w:r>
          </w:p>
        </w:tc>
      </w:tr>
      <w:tr w:rsidR="00FE604E" w:rsidRPr="00D0233F" w:rsidTr="007E7DB6">
        <w:tc>
          <w:tcPr>
            <w:tcW w:w="4361" w:type="dxa"/>
            <w:vAlign w:val="center"/>
          </w:tcPr>
          <w:p w:rsidR="00FE604E" w:rsidRPr="00D0233F" w:rsidRDefault="00FE604E" w:rsidP="0070390A">
            <w:pPr>
              <w:pStyle w:val="Odstavecseseznamem"/>
              <w:widowControl w:val="0"/>
              <w:numPr>
                <w:ilvl w:val="0"/>
                <w:numId w:val="15"/>
              </w:numPr>
              <w:autoSpaceDE w:val="0"/>
              <w:autoSpaceDN w:val="0"/>
              <w:adjustRightInd w:val="0"/>
              <w:jc w:val="left"/>
              <w:rPr>
                <w:rFonts w:ascii="Arial" w:hAnsi="Arial" w:cs="Arial"/>
                <w:sz w:val="20"/>
                <w:szCs w:val="20"/>
              </w:rPr>
            </w:pPr>
            <w:r w:rsidRPr="00D0233F">
              <w:rPr>
                <w:rFonts w:ascii="Arial" w:hAnsi="Arial" w:cs="Arial"/>
                <w:sz w:val="20"/>
                <w:szCs w:val="20"/>
              </w:rPr>
              <w:t>Destinační marketing</w:t>
            </w:r>
          </w:p>
        </w:tc>
        <w:tc>
          <w:tcPr>
            <w:tcW w:w="4961" w:type="dxa"/>
          </w:tcPr>
          <w:p w:rsidR="00FE604E"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 xml:space="preserve">Marketingová podpora domácího </w:t>
            </w:r>
            <w:proofErr w:type="spellStart"/>
            <w:r w:rsidRPr="00D0233F">
              <w:rPr>
                <w:rFonts w:ascii="Arial" w:hAnsi="Arial" w:cs="Arial"/>
                <w:sz w:val="20"/>
                <w:szCs w:val="20"/>
              </w:rPr>
              <w:t>apříjezdového</w:t>
            </w:r>
            <w:proofErr w:type="spellEnd"/>
            <w:r w:rsidRPr="00D0233F">
              <w:rPr>
                <w:rFonts w:ascii="Arial" w:hAnsi="Arial" w:cs="Arial"/>
                <w:sz w:val="20"/>
                <w:szCs w:val="20"/>
              </w:rPr>
              <w:t xml:space="preserve"> cestovního ruchu.</w:t>
            </w:r>
          </w:p>
          <w:p w:rsidR="007E7DB6"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Tvorba a marketing národních a regionálních produktů CR</w:t>
            </w:r>
          </w:p>
          <w:p w:rsidR="007E7DB6"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Marketingové informace</w:t>
            </w:r>
          </w:p>
        </w:tc>
      </w:tr>
      <w:tr w:rsidR="00FE604E" w:rsidRPr="00D0233F" w:rsidTr="007E7DB6">
        <w:tc>
          <w:tcPr>
            <w:tcW w:w="4361" w:type="dxa"/>
            <w:vAlign w:val="center"/>
          </w:tcPr>
          <w:p w:rsidR="00FE604E" w:rsidRPr="00D0233F" w:rsidRDefault="007E7DB6" w:rsidP="0070390A">
            <w:pPr>
              <w:pStyle w:val="Odstavecseseznamem"/>
              <w:widowControl w:val="0"/>
              <w:numPr>
                <w:ilvl w:val="0"/>
                <w:numId w:val="15"/>
              </w:numPr>
              <w:autoSpaceDE w:val="0"/>
              <w:autoSpaceDN w:val="0"/>
              <w:adjustRightInd w:val="0"/>
              <w:jc w:val="left"/>
              <w:rPr>
                <w:rFonts w:ascii="Arial" w:hAnsi="Arial" w:cs="Arial"/>
                <w:sz w:val="20"/>
                <w:szCs w:val="20"/>
              </w:rPr>
            </w:pPr>
            <w:r w:rsidRPr="00D0233F">
              <w:rPr>
                <w:rFonts w:ascii="Arial" w:hAnsi="Arial" w:cs="Arial"/>
                <w:sz w:val="20"/>
                <w:szCs w:val="20"/>
              </w:rPr>
              <w:t>Politika cestovního ruchu a ekonomický rozvoj</w:t>
            </w:r>
          </w:p>
        </w:tc>
        <w:tc>
          <w:tcPr>
            <w:tcW w:w="4961" w:type="dxa"/>
          </w:tcPr>
          <w:p w:rsidR="00FE604E"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Politika cestovního ruchu jako součást hospodářské a regionální politiky</w:t>
            </w:r>
          </w:p>
          <w:p w:rsidR="007E7DB6"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Statistika a výzkum v CR</w:t>
            </w:r>
          </w:p>
          <w:p w:rsidR="007E7DB6" w:rsidRPr="00D0233F" w:rsidRDefault="007E7DB6" w:rsidP="0070390A">
            <w:pPr>
              <w:pStyle w:val="Odstavecseseznamem"/>
              <w:widowControl w:val="0"/>
              <w:numPr>
                <w:ilvl w:val="0"/>
                <w:numId w:val="5"/>
              </w:numPr>
              <w:autoSpaceDE w:val="0"/>
              <w:autoSpaceDN w:val="0"/>
              <w:adjustRightInd w:val="0"/>
              <w:ind w:left="498"/>
              <w:rPr>
                <w:rFonts w:ascii="Arial" w:hAnsi="Arial" w:cs="Arial"/>
                <w:sz w:val="20"/>
                <w:szCs w:val="20"/>
              </w:rPr>
            </w:pPr>
            <w:r w:rsidRPr="00D0233F">
              <w:rPr>
                <w:rFonts w:ascii="Arial" w:hAnsi="Arial" w:cs="Arial"/>
                <w:sz w:val="20"/>
                <w:szCs w:val="20"/>
              </w:rPr>
              <w:t>Krizové řízení a bezpečnost</w:t>
            </w:r>
          </w:p>
        </w:tc>
      </w:tr>
    </w:tbl>
    <w:p w:rsidR="00D1549D" w:rsidRDefault="00D1549D" w:rsidP="007E7DB6">
      <w:pPr>
        <w:widowControl w:val="0"/>
        <w:autoSpaceDE w:val="0"/>
        <w:autoSpaceDN w:val="0"/>
        <w:adjustRightInd w:val="0"/>
        <w:spacing w:after="120"/>
        <w:rPr>
          <w:rFonts w:ascii="Arial" w:hAnsi="Arial" w:cs="Arial"/>
          <w:sz w:val="20"/>
          <w:szCs w:val="20"/>
        </w:rPr>
      </w:pPr>
    </w:p>
    <w:p w:rsidR="007E7DB6" w:rsidRPr="00D0233F" w:rsidRDefault="007E7DB6" w:rsidP="007E7DB6">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Na podporu implementace Koncepce byl zpracován Akční plán, jedná se o krátkodobý dokument s platností na dva roky. Akční plán blíže specifikuje a konkrétněji rozpracovává opatření a aktivity Koncepce, respektive způsob jejich plnění včetně identifikace harmonogramu, realizátorů, výstupů, indikátorů a zdrojů financování. Východiskem pro zpracování Akčního plánu byly výstupy ze</w:t>
      </w:r>
      <w:r w:rsidR="00D0233F" w:rsidRPr="00D0233F">
        <w:rPr>
          <w:rFonts w:ascii="Arial" w:hAnsi="Arial" w:cs="Arial"/>
          <w:sz w:val="20"/>
          <w:szCs w:val="20"/>
        </w:rPr>
        <w:t> </w:t>
      </w:r>
      <w:r w:rsidRPr="00D0233F">
        <w:rPr>
          <w:rFonts w:ascii="Arial" w:hAnsi="Arial" w:cs="Arial"/>
          <w:sz w:val="20"/>
          <w:szCs w:val="20"/>
        </w:rPr>
        <w:t xml:space="preserve">zpracování Zprávy o plnění Koncepce 2007-2013, </w:t>
      </w:r>
      <w:r w:rsidR="00D0233F" w:rsidRPr="00D0233F">
        <w:rPr>
          <w:rFonts w:ascii="Arial" w:hAnsi="Arial" w:cs="Arial"/>
          <w:sz w:val="20"/>
          <w:szCs w:val="20"/>
        </w:rPr>
        <w:t>i požadavky subjektů cestovního ruchu sdělené v rámci jednání Kolegia cestovního ruchu.</w:t>
      </w:r>
    </w:p>
    <w:p w:rsidR="00D0233F" w:rsidRPr="00D0233F" w:rsidRDefault="00D0233F" w:rsidP="00D0233F">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Do Akčního plánu ke Koncepci CR pro období 2015 – 2016 jsou v této souvislosti začleněna opatření na podporu dalšího rozvoje Českého systému kvality služeb, podporu cestovního ruchu v destinacích, sledování efektivity a přínosů realizovaných aktivit včetně opatření na zkvalitnění sledování plnění Koncepce 2014 – 2020, zabezpečení dat a podpory rozhodovacích procesů, podporu udržitelného rozvoje, podporu koordinace politiky cestovního ruchu, krizové řízení a bezpečnost a v neposlední řadě na podporu managementu a marketingu destinací.</w:t>
      </w:r>
    </w:p>
    <w:p w:rsidR="00D0233F" w:rsidRPr="00D0233F" w:rsidRDefault="00D0233F" w:rsidP="007E7DB6">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Podrobnější přehled opatření a aktivit viz následující tabulka:</w:t>
      </w:r>
    </w:p>
    <w:tbl>
      <w:tblPr>
        <w:tblW w:w="5000" w:type="pct"/>
        <w:tblCellMar>
          <w:left w:w="0" w:type="dxa"/>
          <w:right w:w="0" w:type="dxa"/>
        </w:tblCellMar>
        <w:tblLook w:val="0420"/>
      </w:tblPr>
      <w:tblGrid>
        <w:gridCol w:w="4114"/>
        <w:gridCol w:w="5244"/>
      </w:tblGrid>
      <w:tr w:rsidR="00D0233F" w:rsidRPr="00D0233F" w:rsidTr="00D0233F">
        <w:trPr>
          <w:trHeight w:val="663"/>
        </w:trPr>
        <w:tc>
          <w:tcPr>
            <w:tcW w:w="2198" w:type="pct"/>
            <w:tcBorders>
              <w:top w:val="single" w:sz="8" w:space="0" w:color="FFFFFF"/>
              <w:left w:val="single" w:sz="8" w:space="0" w:color="FFFFFF"/>
              <w:bottom w:val="single" w:sz="24" w:space="0" w:color="FFFFFF"/>
              <w:right w:val="single" w:sz="8" w:space="0" w:color="FFFFFF"/>
            </w:tcBorders>
            <w:shd w:val="clear" w:color="auto" w:fill="000099"/>
            <w:tcMar>
              <w:top w:w="72" w:type="dxa"/>
              <w:left w:w="144" w:type="dxa"/>
              <w:bottom w:w="72" w:type="dxa"/>
              <w:right w:w="144" w:type="dxa"/>
            </w:tcMar>
            <w:hideMark/>
          </w:tcPr>
          <w:p w:rsidR="00823180" w:rsidRPr="00D0233F" w:rsidRDefault="00D0233F" w:rsidP="00041ACB">
            <w:pPr>
              <w:keepNext/>
              <w:keepLines/>
              <w:widowControl w:val="0"/>
              <w:autoSpaceDE w:val="0"/>
              <w:autoSpaceDN w:val="0"/>
              <w:adjustRightInd w:val="0"/>
              <w:spacing w:after="120" w:line="240" w:lineRule="auto"/>
              <w:jc w:val="center"/>
              <w:rPr>
                <w:rFonts w:ascii="Arial" w:hAnsi="Arial" w:cs="Arial"/>
                <w:sz w:val="20"/>
                <w:szCs w:val="20"/>
              </w:rPr>
            </w:pPr>
            <w:r w:rsidRPr="00D0233F">
              <w:rPr>
                <w:rFonts w:ascii="Arial" w:hAnsi="Arial" w:cs="Arial"/>
                <w:b/>
                <w:bCs/>
                <w:sz w:val="20"/>
                <w:szCs w:val="20"/>
              </w:rPr>
              <w:lastRenderedPageBreak/>
              <w:t>Opatření</w:t>
            </w:r>
          </w:p>
        </w:tc>
        <w:tc>
          <w:tcPr>
            <w:tcW w:w="2802" w:type="pct"/>
            <w:tcBorders>
              <w:top w:val="single" w:sz="8" w:space="0" w:color="FFFFFF"/>
              <w:left w:val="single" w:sz="8" w:space="0" w:color="FFFFFF"/>
              <w:bottom w:val="single" w:sz="24" w:space="0" w:color="FFFFFF"/>
              <w:right w:val="single" w:sz="8" w:space="0" w:color="FFFFFF"/>
            </w:tcBorders>
            <w:shd w:val="clear" w:color="auto" w:fill="000099"/>
            <w:tcMar>
              <w:top w:w="72" w:type="dxa"/>
              <w:left w:w="144" w:type="dxa"/>
              <w:bottom w:w="72" w:type="dxa"/>
              <w:right w:w="144" w:type="dxa"/>
            </w:tcMar>
            <w:hideMark/>
          </w:tcPr>
          <w:p w:rsidR="00823180" w:rsidRPr="00D0233F" w:rsidRDefault="00D0233F" w:rsidP="00041ACB">
            <w:pPr>
              <w:keepNext/>
              <w:keepLines/>
              <w:widowControl w:val="0"/>
              <w:autoSpaceDE w:val="0"/>
              <w:autoSpaceDN w:val="0"/>
              <w:adjustRightInd w:val="0"/>
              <w:spacing w:after="120" w:line="240" w:lineRule="auto"/>
              <w:jc w:val="center"/>
              <w:rPr>
                <w:rFonts w:ascii="Arial" w:hAnsi="Arial" w:cs="Arial"/>
                <w:sz w:val="20"/>
                <w:szCs w:val="20"/>
              </w:rPr>
            </w:pPr>
            <w:r w:rsidRPr="00D0233F">
              <w:rPr>
                <w:rFonts w:ascii="Arial" w:hAnsi="Arial" w:cs="Arial"/>
                <w:b/>
                <w:bCs/>
                <w:sz w:val="20"/>
                <w:szCs w:val="20"/>
              </w:rPr>
              <w:t>Aktivity</w:t>
            </w:r>
          </w:p>
        </w:tc>
      </w:tr>
      <w:tr w:rsidR="00D0233F" w:rsidRPr="00D0233F" w:rsidTr="00D0233F">
        <w:trPr>
          <w:trHeight w:val="762"/>
        </w:trPr>
        <w:tc>
          <w:tcPr>
            <w:tcW w:w="2198" w:type="pct"/>
            <w:tcBorders>
              <w:top w:val="single" w:sz="24"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keepNext/>
              <w:keepLines/>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 xml:space="preserve">1. Další rozvoj systému kvality služeb CR, zajištění udržitelnosti systému </w:t>
            </w:r>
          </w:p>
        </w:tc>
        <w:tc>
          <w:tcPr>
            <w:tcW w:w="2802" w:type="pct"/>
            <w:tcBorders>
              <w:top w:val="single" w:sz="24"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keepNext/>
              <w:keepLines/>
              <w:widowControl w:val="0"/>
              <w:numPr>
                <w:ilvl w:val="0"/>
                <w:numId w:val="6"/>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Zajištění dalšího rozvoje ČSKS</w:t>
            </w:r>
          </w:p>
          <w:p w:rsidR="00823180" w:rsidRPr="00D0233F" w:rsidRDefault="0070390A" w:rsidP="0070390A">
            <w:pPr>
              <w:keepNext/>
              <w:keepLines/>
              <w:widowControl w:val="0"/>
              <w:numPr>
                <w:ilvl w:val="0"/>
                <w:numId w:val="6"/>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propagace ČSKS a značky kvality</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2. Cestovní ruch v destinacích</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7"/>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Zpracování a následné vyhlášení nového programu</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3. Podpora sledování efektivity a přínosů realizovaných aktivit</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8"/>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Vypracování metodiky vyhodnocování investic </w:t>
            </w:r>
          </w:p>
          <w:p w:rsidR="00823180" w:rsidRPr="00D0233F" w:rsidRDefault="0070390A" w:rsidP="0070390A">
            <w:pPr>
              <w:widowControl w:val="0"/>
              <w:numPr>
                <w:ilvl w:val="0"/>
                <w:numId w:val="8"/>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Vytvoření indikátorů pro sledování výkonnosti CR</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4. Zabezpečení dat a podpory rozhodovacích procesů</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9"/>
              </w:numPr>
              <w:tabs>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Satelitního účtu cestovního ruchu ČR</w:t>
            </w:r>
          </w:p>
          <w:p w:rsidR="00823180" w:rsidRPr="00D0233F" w:rsidRDefault="0070390A" w:rsidP="0070390A">
            <w:pPr>
              <w:widowControl w:val="0"/>
              <w:numPr>
                <w:ilvl w:val="0"/>
                <w:numId w:val="9"/>
              </w:numPr>
              <w:tabs>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Realizace marketingových výzkumů</w:t>
            </w:r>
          </w:p>
        </w:tc>
      </w:tr>
      <w:tr w:rsidR="00D0233F" w:rsidRPr="00D0233F" w:rsidTr="00D0233F">
        <w:trPr>
          <w:trHeight w:val="13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5. Podpora udržitelného cestovního ruchu</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infrastruktury přírodního dědictví</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činnosti a vzniku nových geoparků</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Rozvoj udržitelné dopravy</w:t>
            </w:r>
          </w:p>
          <w:p w:rsidR="00823180" w:rsidRPr="00D0233F" w:rsidRDefault="0070390A" w:rsidP="0070390A">
            <w:pPr>
              <w:widowControl w:val="0"/>
              <w:numPr>
                <w:ilvl w:val="0"/>
                <w:numId w:val="10"/>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tvorby produktů udržitelného cestovního ruchu</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6. Marketing cestovního ruchu na národní úrovni</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11"/>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Implementace Marketingového plánu 2015</w:t>
            </w:r>
          </w:p>
        </w:tc>
      </w:tr>
      <w:tr w:rsidR="00D0233F" w:rsidRPr="00D0233F" w:rsidTr="00D0233F">
        <w:trPr>
          <w:trHeight w:val="663"/>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7. Koordinace politiky cestovního ruchu</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2"/>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Koordinace politiky cestovního ruchu </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 xml:space="preserve">8. Krizové řízení a bezpečnost </w:t>
            </w:r>
          </w:p>
        </w:tc>
        <w:tc>
          <w:tcPr>
            <w:tcW w:w="2802" w:type="pct"/>
            <w:tcBorders>
              <w:top w:val="single" w:sz="8" w:space="0" w:color="FFFFFF"/>
              <w:left w:val="single" w:sz="8" w:space="0" w:color="FFFFFF"/>
              <w:bottom w:val="single" w:sz="8" w:space="0" w:color="FFFFFF"/>
              <w:right w:val="single" w:sz="8" w:space="0" w:color="FFFFFF"/>
            </w:tcBorders>
            <w:shd w:val="clear" w:color="auto" w:fill="E7E7EF"/>
            <w:tcMar>
              <w:top w:w="72" w:type="dxa"/>
              <w:left w:w="144" w:type="dxa"/>
              <w:bottom w:w="72" w:type="dxa"/>
              <w:right w:w="144" w:type="dxa"/>
            </w:tcMar>
            <w:vAlign w:val="center"/>
            <w:hideMark/>
          </w:tcPr>
          <w:p w:rsidR="00823180" w:rsidRPr="00D0233F" w:rsidRDefault="0070390A" w:rsidP="0070390A">
            <w:pPr>
              <w:widowControl w:val="0"/>
              <w:numPr>
                <w:ilvl w:val="0"/>
                <w:numId w:val="13"/>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Krizový scénář – řešení poklesu konkurenceschopnosti CR</w:t>
            </w:r>
          </w:p>
          <w:p w:rsidR="00823180" w:rsidRPr="00D0233F" w:rsidRDefault="0070390A" w:rsidP="0070390A">
            <w:pPr>
              <w:widowControl w:val="0"/>
              <w:numPr>
                <w:ilvl w:val="0"/>
                <w:numId w:val="13"/>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Podpora Horské služby ČR</w:t>
            </w:r>
          </w:p>
        </w:tc>
      </w:tr>
      <w:tr w:rsidR="00D0233F" w:rsidRPr="00D0233F" w:rsidTr="00D0233F">
        <w:trPr>
          <w:trHeight w:val="762"/>
        </w:trPr>
        <w:tc>
          <w:tcPr>
            <w:tcW w:w="2198"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D0233F" w:rsidP="002B3C7C">
            <w:pPr>
              <w:widowControl w:val="0"/>
              <w:autoSpaceDE w:val="0"/>
              <w:autoSpaceDN w:val="0"/>
              <w:adjustRightInd w:val="0"/>
              <w:spacing w:after="120" w:line="240" w:lineRule="auto"/>
              <w:rPr>
                <w:rFonts w:ascii="Arial" w:hAnsi="Arial" w:cs="Arial"/>
                <w:sz w:val="20"/>
                <w:szCs w:val="20"/>
              </w:rPr>
            </w:pPr>
            <w:r w:rsidRPr="00D0233F">
              <w:rPr>
                <w:rFonts w:ascii="Arial" w:hAnsi="Arial" w:cs="Arial"/>
                <w:b/>
                <w:bCs/>
                <w:sz w:val="20"/>
                <w:szCs w:val="20"/>
              </w:rPr>
              <w:t xml:space="preserve">9. Efektivnější management a marketing destinací </w:t>
            </w:r>
          </w:p>
        </w:tc>
        <w:tc>
          <w:tcPr>
            <w:tcW w:w="2802" w:type="pct"/>
            <w:tcBorders>
              <w:top w:val="single" w:sz="8" w:space="0" w:color="FFFFFF"/>
              <w:left w:val="single" w:sz="8" w:space="0" w:color="FFFFFF"/>
              <w:bottom w:val="single" w:sz="8" w:space="0" w:color="FFFFFF"/>
              <w:right w:val="single" w:sz="8" w:space="0" w:color="FFFFFF"/>
            </w:tcBorders>
            <w:shd w:val="clear" w:color="auto" w:fill="CBCBDE"/>
            <w:tcMar>
              <w:top w:w="72" w:type="dxa"/>
              <w:left w:w="144" w:type="dxa"/>
              <w:bottom w:w="72" w:type="dxa"/>
              <w:right w:w="144" w:type="dxa"/>
            </w:tcMar>
            <w:vAlign w:val="center"/>
            <w:hideMark/>
          </w:tcPr>
          <w:p w:rsidR="00823180" w:rsidRPr="00D0233F" w:rsidRDefault="0070390A" w:rsidP="0070390A">
            <w:pPr>
              <w:widowControl w:val="0"/>
              <w:numPr>
                <w:ilvl w:val="0"/>
                <w:numId w:val="14"/>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Problematika veřejné podpory </w:t>
            </w:r>
          </w:p>
          <w:p w:rsidR="00823180" w:rsidRPr="00D0233F" w:rsidRDefault="0070390A" w:rsidP="0070390A">
            <w:pPr>
              <w:widowControl w:val="0"/>
              <w:numPr>
                <w:ilvl w:val="0"/>
                <w:numId w:val="14"/>
              </w:numPr>
              <w:tabs>
                <w:tab w:val="clear" w:pos="720"/>
                <w:tab w:val="num" w:pos="424"/>
              </w:tabs>
              <w:autoSpaceDE w:val="0"/>
              <w:autoSpaceDN w:val="0"/>
              <w:adjustRightInd w:val="0"/>
              <w:spacing w:after="120" w:line="240" w:lineRule="auto"/>
              <w:ind w:left="424" w:hanging="283"/>
              <w:rPr>
                <w:rFonts w:ascii="Arial" w:hAnsi="Arial" w:cs="Arial"/>
                <w:sz w:val="20"/>
                <w:szCs w:val="20"/>
              </w:rPr>
            </w:pPr>
            <w:r w:rsidRPr="00D0233F">
              <w:rPr>
                <w:rFonts w:ascii="Arial" w:hAnsi="Arial" w:cs="Arial"/>
                <w:sz w:val="20"/>
                <w:szCs w:val="20"/>
              </w:rPr>
              <w:t xml:space="preserve">Zefektivnění managementu a marketingu destinací </w:t>
            </w:r>
          </w:p>
        </w:tc>
      </w:tr>
    </w:tbl>
    <w:p w:rsidR="00372909" w:rsidRPr="00D0233F" w:rsidRDefault="00372909" w:rsidP="00372909">
      <w:pPr>
        <w:widowControl w:val="0"/>
        <w:autoSpaceDE w:val="0"/>
        <w:autoSpaceDN w:val="0"/>
        <w:adjustRightInd w:val="0"/>
        <w:spacing w:after="120"/>
        <w:rPr>
          <w:rFonts w:ascii="Arial" w:hAnsi="Arial" w:cs="Arial"/>
          <w:sz w:val="20"/>
          <w:szCs w:val="20"/>
        </w:rPr>
      </w:pPr>
      <w:r w:rsidRPr="00D0233F">
        <w:rPr>
          <w:rFonts w:ascii="Arial" w:hAnsi="Arial" w:cs="Arial"/>
          <w:sz w:val="20"/>
          <w:szCs w:val="20"/>
        </w:rPr>
        <w:t xml:space="preserve">Vyhodnocení plnění aktuálního Akčního plánu bude předloženo do vlády v souvislosti se zpracováním Akčního plánu na období 2017 – 2018 do 30. června 2017. </w:t>
      </w:r>
    </w:p>
    <w:bookmarkEnd w:id="0"/>
    <w:bookmarkEnd w:id="1"/>
    <w:bookmarkEnd w:id="2"/>
    <w:bookmarkEnd w:id="3"/>
    <w:bookmarkEnd w:id="4"/>
    <w:bookmarkEnd w:id="5"/>
    <w:p w:rsidR="00372909" w:rsidRDefault="0083718B" w:rsidP="00D1549D">
      <w:pPr>
        <w:spacing w:before="0" w:after="120" w:line="240" w:lineRule="auto"/>
        <w:rPr>
          <w:rFonts w:ascii="Arial" w:eastAsiaTheme="majorEastAsia" w:hAnsi="Arial" w:cs="Arial"/>
          <w:bCs/>
          <w:sz w:val="20"/>
          <w:szCs w:val="20"/>
        </w:rPr>
      </w:pPr>
      <w:r>
        <w:rPr>
          <w:rFonts w:ascii="Arial" w:eastAsiaTheme="majorEastAsia" w:hAnsi="Arial" w:cs="Arial"/>
          <w:bCs/>
          <w:sz w:val="20"/>
          <w:szCs w:val="20"/>
        </w:rPr>
        <w:t xml:space="preserve">V rámci zpracování byl </w:t>
      </w:r>
      <w:r w:rsidRPr="0083718B">
        <w:rPr>
          <w:rFonts w:ascii="Arial" w:eastAsiaTheme="majorEastAsia" w:hAnsi="Arial" w:cs="Arial"/>
          <w:bCs/>
          <w:sz w:val="20"/>
          <w:szCs w:val="20"/>
        </w:rPr>
        <w:t>Akční plán projednán na Pracovní skupině RHSD při MMR (dne 18. 6. 2015) a</w:t>
      </w:r>
      <w:r>
        <w:rPr>
          <w:rFonts w:ascii="Arial" w:eastAsiaTheme="majorEastAsia" w:hAnsi="Arial" w:cs="Arial"/>
          <w:bCs/>
          <w:sz w:val="20"/>
          <w:szCs w:val="20"/>
        </w:rPr>
        <w:t> </w:t>
      </w:r>
      <w:r w:rsidRPr="0083718B">
        <w:rPr>
          <w:rFonts w:ascii="Arial" w:eastAsiaTheme="majorEastAsia" w:hAnsi="Arial" w:cs="Arial"/>
          <w:bCs/>
          <w:sz w:val="20"/>
          <w:szCs w:val="20"/>
        </w:rPr>
        <w:t>následně na 119. Plenárním zasedání RHSD (dne 22. 6. 2015).</w:t>
      </w:r>
      <w:r>
        <w:rPr>
          <w:rFonts w:ascii="Arial" w:eastAsiaTheme="majorEastAsia" w:hAnsi="Arial" w:cs="Arial"/>
          <w:bCs/>
          <w:sz w:val="20"/>
          <w:szCs w:val="20"/>
        </w:rPr>
        <w:t xml:space="preserve"> Následně byl Akční plán předložen pro informaci členů vlády (program jednání vlády 13. 7. 2015).</w:t>
      </w:r>
    </w:p>
    <w:p w:rsidR="004D2A66" w:rsidRDefault="004D2A66" w:rsidP="004D2A66">
      <w:pPr>
        <w:pStyle w:val="Nadpis1"/>
      </w:pPr>
      <w:bookmarkStart w:id="8" w:name="_Toc434585082"/>
      <w:r>
        <w:lastRenderedPageBreak/>
        <w:t>Implementace vybraných opatření Akčního plánu</w:t>
      </w:r>
      <w:bookmarkEnd w:id="8"/>
    </w:p>
    <w:p w:rsidR="0083718B" w:rsidRPr="00DD0A4C" w:rsidRDefault="0083718B" w:rsidP="00ED2E19">
      <w:pPr>
        <w:pStyle w:val="Nadpis2"/>
        <w:shd w:val="clear" w:color="auto" w:fill="92D050"/>
      </w:pPr>
      <w:bookmarkStart w:id="9" w:name="_Toc434585083"/>
      <w:r w:rsidRPr="00DD0A4C">
        <w:t>Vyhlášení národního programu podpory</w:t>
      </w:r>
      <w:r w:rsidR="00062937" w:rsidRPr="00DD0A4C">
        <w:t xml:space="preserve"> cestovního ruchu</w:t>
      </w:r>
      <w:bookmarkEnd w:id="9"/>
    </w:p>
    <w:p w:rsidR="00062937" w:rsidRPr="002B3C7C" w:rsidRDefault="00062937" w:rsidP="002B3C7C">
      <w:pPr>
        <w:keepNext/>
        <w:keepLines/>
        <w:spacing w:before="0" w:after="120" w:line="240" w:lineRule="auto"/>
        <w:ind w:left="360"/>
        <w:rPr>
          <w:rFonts w:ascii="Arial" w:eastAsiaTheme="majorEastAsia" w:hAnsi="Arial" w:cs="Arial"/>
          <w:b/>
          <w:bCs/>
          <w:sz w:val="20"/>
          <w:szCs w:val="20"/>
        </w:rPr>
      </w:pPr>
      <w:r w:rsidRPr="002B3C7C">
        <w:rPr>
          <w:rFonts w:ascii="Arial" w:eastAsiaTheme="majorEastAsia" w:hAnsi="Arial" w:cs="Arial"/>
          <w:b/>
          <w:bCs/>
          <w:sz w:val="20"/>
          <w:szCs w:val="20"/>
        </w:rPr>
        <w:t>NPPCR 2015</w:t>
      </w:r>
    </w:p>
    <w:p w:rsidR="00823180" w:rsidRDefault="00062937" w:rsidP="0070390A">
      <w:pPr>
        <w:keepNext/>
        <w:keepLines/>
        <w:numPr>
          <w:ilvl w:val="0"/>
          <w:numId w:val="16"/>
        </w:numPr>
        <w:tabs>
          <w:tab w:val="clear" w:pos="720"/>
          <w:tab w:val="num" w:pos="1080"/>
        </w:tabs>
        <w:spacing w:before="0" w:after="120"/>
        <w:ind w:left="1080"/>
        <w:rPr>
          <w:rFonts w:ascii="Arial" w:eastAsiaTheme="majorEastAsia" w:hAnsi="Arial" w:cs="Arial"/>
          <w:bCs/>
          <w:sz w:val="20"/>
          <w:szCs w:val="20"/>
        </w:rPr>
      </w:pPr>
      <w:r>
        <w:rPr>
          <w:rFonts w:ascii="Arial" w:eastAsiaTheme="majorEastAsia" w:hAnsi="Arial" w:cs="Arial"/>
          <w:bCs/>
          <w:sz w:val="20"/>
          <w:szCs w:val="20"/>
        </w:rPr>
        <w:t xml:space="preserve">Program je zaměřen na podporu </w:t>
      </w:r>
      <w:r w:rsidR="0070390A" w:rsidRPr="00062937">
        <w:rPr>
          <w:rFonts w:ascii="Arial" w:eastAsiaTheme="majorEastAsia" w:hAnsi="Arial" w:cs="Arial"/>
          <w:bCs/>
          <w:sz w:val="20"/>
          <w:szCs w:val="20"/>
        </w:rPr>
        <w:t>prosperit</w:t>
      </w:r>
      <w:r>
        <w:rPr>
          <w:rFonts w:ascii="Arial" w:eastAsiaTheme="majorEastAsia" w:hAnsi="Arial" w:cs="Arial"/>
          <w:bCs/>
          <w:sz w:val="20"/>
          <w:szCs w:val="20"/>
        </w:rPr>
        <w:t>y</w:t>
      </w:r>
      <w:r w:rsidR="0070390A" w:rsidRPr="00062937">
        <w:rPr>
          <w:rFonts w:ascii="Arial" w:eastAsiaTheme="majorEastAsia" w:hAnsi="Arial" w:cs="Arial"/>
          <w:bCs/>
          <w:sz w:val="20"/>
          <w:szCs w:val="20"/>
        </w:rPr>
        <w:t xml:space="preserve"> regionů, rozvoj domácího CR, zachování zaměstnanosti, podpora tvorby nových produktů, aktivní začlenění cílových skupin, pro které je účast na cestovním ruchu obtížná, do aktivit CR, snížení sezónnosti, vytvoření podmínek pro zlepšení infrastruktury cestovního ruchu a zpřístupnění atraktivit.</w:t>
      </w:r>
    </w:p>
    <w:p w:rsidR="00062937" w:rsidRDefault="00062937" w:rsidP="0070390A">
      <w:pPr>
        <w:numPr>
          <w:ilvl w:val="0"/>
          <w:numId w:val="16"/>
        </w:numPr>
        <w:spacing w:before="0" w:after="120"/>
        <w:ind w:left="1080"/>
        <w:rPr>
          <w:rFonts w:ascii="Arial" w:eastAsiaTheme="majorEastAsia" w:hAnsi="Arial" w:cs="Arial"/>
          <w:bCs/>
          <w:sz w:val="20"/>
          <w:szCs w:val="20"/>
        </w:rPr>
      </w:pPr>
      <w:r>
        <w:rPr>
          <w:rFonts w:ascii="Arial" w:eastAsiaTheme="majorEastAsia" w:hAnsi="Arial" w:cs="Arial"/>
          <w:bCs/>
          <w:sz w:val="20"/>
          <w:szCs w:val="20"/>
        </w:rPr>
        <w:t>Program je určen pro podnikatelské subjekty a obce.</w:t>
      </w:r>
    </w:p>
    <w:p w:rsidR="00062937" w:rsidRDefault="00062937" w:rsidP="0070390A">
      <w:pPr>
        <w:numPr>
          <w:ilvl w:val="0"/>
          <w:numId w:val="16"/>
        </w:numPr>
        <w:spacing w:before="0" w:after="120" w:line="240" w:lineRule="auto"/>
        <w:ind w:left="1080"/>
        <w:rPr>
          <w:rFonts w:ascii="Arial" w:eastAsiaTheme="majorEastAsia" w:hAnsi="Arial" w:cs="Arial"/>
          <w:bCs/>
          <w:sz w:val="20"/>
          <w:szCs w:val="20"/>
        </w:rPr>
      </w:pPr>
      <w:r w:rsidRPr="00062937">
        <w:rPr>
          <w:rFonts w:ascii="Arial" w:eastAsiaTheme="majorEastAsia" w:hAnsi="Arial" w:cs="Arial"/>
          <w:bCs/>
          <w:sz w:val="20"/>
          <w:szCs w:val="20"/>
        </w:rPr>
        <w:t xml:space="preserve">Max. výše dotace je 50 % celkových uznatelných výdajů akce. Program je realizován na principu podpory de </w:t>
      </w:r>
      <w:proofErr w:type="spellStart"/>
      <w:r w:rsidRPr="00062937">
        <w:rPr>
          <w:rFonts w:ascii="Arial" w:eastAsiaTheme="majorEastAsia" w:hAnsi="Arial" w:cs="Arial"/>
          <w:bCs/>
          <w:sz w:val="20"/>
          <w:szCs w:val="20"/>
        </w:rPr>
        <w:t>minimis</w:t>
      </w:r>
      <w:proofErr w:type="spellEnd"/>
      <w:r w:rsidRPr="00062937">
        <w:rPr>
          <w:rFonts w:ascii="Arial" w:eastAsiaTheme="majorEastAsia" w:hAnsi="Arial" w:cs="Arial"/>
          <w:bCs/>
          <w:sz w:val="20"/>
          <w:szCs w:val="20"/>
        </w:rPr>
        <w:t xml:space="preserve">. </w:t>
      </w:r>
      <w:r w:rsidR="0070390A" w:rsidRPr="00062937">
        <w:rPr>
          <w:rFonts w:ascii="Arial" w:eastAsiaTheme="majorEastAsia" w:hAnsi="Arial" w:cs="Arial"/>
          <w:bCs/>
          <w:sz w:val="20"/>
          <w:szCs w:val="20"/>
        </w:rPr>
        <w:t xml:space="preserve">Projekty </w:t>
      </w:r>
      <w:r w:rsidRPr="00062937">
        <w:rPr>
          <w:rFonts w:ascii="Arial" w:eastAsiaTheme="majorEastAsia" w:hAnsi="Arial" w:cs="Arial"/>
          <w:bCs/>
          <w:sz w:val="20"/>
          <w:szCs w:val="20"/>
        </w:rPr>
        <w:t xml:space="preserve">mohou být </w:t>
      </w:r>
      <w:r w:rsidR="0070390A" w:rsidRPr="00062937">
        <w:rPr>
          <w:rFonts w:ascii="Arial" w:eastAsiaTheme="majorEastAsia" w:hAnsi="Arial" w:cs="Arial"/>
          <w:bCs/>
          <w:sz w:val="20"/>
          <w:szCs w:val="20"/>
        </w:rPr>
        <w:t xml:space="preserve">v rozsahu 250 tis. Kč – 5 mil. Kč, </w:t>
      </w:r>
      <w:r w:rsidRPr="00062937">
        <w:rPr>
          <w:rFonts w:ascii="Arial" w:eastAsiaTheme="majorEastAsia" w:hAnsi="Arial" w:cs="Arial"/>
          <w:bCs/>
          <w:sz w:val="20"/>
          <w:szCs w:val="20"/>
        </w:rPr>
        <w:t xml:space="preserve">v případě výstavby </w:t>
      </w:r>
      <w:r w:rsidR="0070390A" w:rsidRPr="00062937">
        <w:rPr>
          <w:rFonts w:ascii="Arial" w:eastAsiaTheme="majorEastAsia" w:hAnsi="Arial" w:cs="Arial"/>
          <w:bCs/>
          <w:sz w:val="20"/>
          <w:szCs w:val="20"/>
        </w:rPr>
        <w:t>parkovací</w:t>
      </w:r>
      <w:r w:rsidRPr="00062937">
        <w:rPr>
          <w:rFonts w:ascii="Arial" w:eastAsiaTheme="majorEastAsia" w:hAnsi="Arial" w:cs="Arial"/>
          <w:bCs/>
          <w:sz w:val="20"/>
          <w:szCs w:val="20"/>
        </w:rPr>
        <w:t>ch</w:t>
      </w:r>
      <w:r w:rsidR="0070390A" w:rsidRPr="00062937">
        <w:rPr>
          <w:rFonts w:ascii="Arial" w:eastAsiaTheme="majorEastAsia" w:hAnsi="Arial" w:cs="Arial"/>
          <w:bCs/>
          <w:sz w:val="20"/>
          <w:szCs w:val="20"/>
        </w:rPr>
        <w:t xml:space="preserve"> dom</w:t>
      </w:r>
      <w:r w:rsidRPr="00062937">
        <w:rPr>
          <w:rFonts w:ascii="Arial" w:eastAsiaTheme="majorEastAsia" w:hAnsi="Arial" w:cs="Arial"/>
          <w:bCs/>
          <w:sz w:val="20"/>
          <w:szCs w:val="20"/>
        </w:rPr>
        <w:t>ů</w:t>
      </w:r>
      <w:r w:rsidR="0070390A" w:rsidRPr="00062937">
        <w:rPr>
          <w:rFonts w:ascii="Arial" w:eastAsiaTheme="majorEastAsia" w:hAnsi="Arial" w:cs="Arial"/>
          <w:bCs/>
          <w:sz w:val="20"/>
          <w:szCs w:val="20"/>
        </w:rPr>
        <w:t xml:space="preserve"> pro kola až 10 mil. Kč.</w:t>
      </w:r>
      <w:r w:rsidRPr="00062937">
        <w:rPr>
          <w:rFonts w:ascii="Arial" w:eastAsiaTheme="majorEastAsia" w:hAnsi="Arial" w:cs="Arial"/>
          <w:bCs/>
          <w:sz w:val="20"/>
          <w:szCs w:val="20"/>
        </w:rPr>
        <w:t xml:space="preserve"> </w:t>
      </w:r>
    </w:p>
    <w:p w:rsidR="00823180" w:rsidRPr="00062937" w:rsidRDefault="00062937" w:rsidP="0070390A">
      <w:pPr>
        <w:numPr>
          <w:ilvl w:val="0"/>
          <w:numId w:val="16"/>
        </w:numPr>
        <w:spacing w:before="0" w:after="120"/>
        <w:ind w:left="1080"/>
        <w:rPr>
          <w:rFonts w:ascii="Arial" w:eastAsiaTheme="majorEastAsia" w:hAnsi="Arial" w:cs="Arial"/>
          <w:bCs/>
          <w:sz w:val="20"/>
          <w:szCs w:val="20"/>
        </w:rPr>
      </w:pPr>
      <w:r w:rsidRPr="00062937">
        <w:rPr>
          <w:rFonts w:ascii="Arial" w:eastAsiaTheme="majorEastAsia" w:hAnsi="Arial" w:cs="Arial"/>
          <w:bCs/>
          <w:sz w:val="20"/>
          <w:szCs w:val="20"/>
        </w:rPr>
        <w:t>V roce 2015 byly vyhlášeny dvě výz</w:t>
      </w:r>
      <w:r>
        <w:rPr>
          <w:rFonts w:ascii="Arial" w:eastAsiaTheme="majorEastAsia" w:hAnsi="Arial" w:cs="Arial"/>
          <w:bCs/>
          <w:sz w:val="20"/>
          <w:szCs w:val="20"/>
        </w:rPr>
        <w:t>v</w:t>
      </w:r>
      <w:r w:rsidRPr="00062937">
        <w:rPr>
          <w:rFonts w:ascii="Arial" w:eastAsiaTheme="majorEastAsia" w:hAnsi="Arial" w:cs="Arial"/>
          <w:bCs/>
          <w:sz w:val="20"/>
          <w:szCs w:val="20"/>
        </w:rPr>
        <w:t>y.</w:t>
      </w:r>
      <w:r>
        <w:rPr>
          <w:rFonts w:ascii="Arial" w:eastAsiaTheme="majorEastAsia" w:hAnsi="Arial" w:cs="Arial"/>
          <w:bCs/>
          <w:sz w:val="20"/>
          <w:szCs w:val="20"/>
        </w:rPr>
        <w:t xml:space="preserve"> Na poskytnutí podpory bylo navrženo </w:t>
      </w:r>
      <w:r w:rsidR="0070390A" w:rsidRPr="00062937">
        <w:rPr>
          <w:rFonts w:ascii="Arial" w:eastAsiaTheme="majorEastAsia" w:hAnsi="Arial" w:cs="Arial"/>
          <w:bCs/>
          <w:sz w:val="20"/>
          <w:szCs w:val="20"/>
        </w:rPr>
        <w:t xml:space="preserve">76 projektů včetně 4 náhradních v celkovém objemu dotace 90,696 mil. Kč. </w:t>
      </w:r>
    </w:p>
    <w:p w:rsidR="0083718B" w:rsidRPr="002B3C7C" w:rsidRDefault="00062937" w:rsidP="002B3C7C">
      <w:pPr>
        <w:spacing w:before="0" w:after="120" w:line="240" w:lineRule="auto"/>
        <w:ind w:left="360"/>
        <w:rPr>
          <w:rFonts w:ascii="Arial" w:eastAsiaTheme="majorEastAsia" w:hAnsi="Arial" w:cs="Arial"/>
          <w:b/>
          <w:bCs/>
          <w:sz w:val="20"/>
          <w:szCs w:val="20"/>
        </w:rPr>
      </w:pPr>
      <w:r w:rsidRPr="002B3C7C">
        <w:rPr>
          <w:rFonts w:ascii="Arial" w:eastAsiaTheme="majorEastAsia" w:hAnsi="Arial" w:cs="Arial"/>
          <w:b/>
          <w:bCs/>
          <w:sz w:val="20"/>
          <w:szCs w:val="20"/>
        </w:rPr>
        <w:t>NPPCR 2016</w:t>
      </w:r>
    </w:p>
    <w:p w:rsidR="00062937" w:rsidRPr="00062937" w:rsidRDefault="00062937" w:rsidP="0070390A">
      <w:pPr>
        <w:pStyle w:val="Odstavecseseznamem"/>
        <w:numPr>
          <w:ilvl w:val="0"/>
          <w:numId w:val="17"/>
        </w:numPr>
        <w:spacing w:before="0" w:line="240" w:lineRule="auto"/>
        <w:ind w:left="1080"/>
        <w:contextualSpacing w:val="0"/>
        <w:rPr>
          <w:rFonts w:ascii="Arial" w:eastAsiaTheme="majorEastAsia" w:hAnsi="Arial" w:cs="Arial"/>
          <w:bCs/>
          <w:sz w:val="20"/>
          <w:szCs w:val="20"/>
        </w:rPr>
      </w:pPr>
      <w:r>
        <w:rPr>
          <w:rFonts w:ascii="Arial" w:eastAsiaTheme="majorEastAsia" w:hAnsi="Arial" w:cs="Arial"/>
          <w:bCs/>
          <w:sz w:val="20"/>
          <w:szCs w:val="20"/>
        </w:rPr>
        <w:t xml:space="preserve">V průběhu roku 2015 došlo k prodloužení stávajícího programu do roku 2017. </w:t>
      </w:r>
      <w:r w:rsidRPr="00062937">
        <w:rPr>
          <w:rFonts w:ascii="Arial" w:eastAsiaTheme="majorEastAsia" w:hAnsi="Arial" w:cs="Arial"/>
          <w:bCs/>
          <w:sz w:val="20"/>
          <w:szCs w:val="20"/>
        </w:rPr>
        <w:t>Zaměření programu podpory je stejné jako v roce 2015.</w:t>
      </w:r>
    </w:p>
    <w:p w:rsidR="00062937" w:rsidRDefault="00062937" w:rsidP="0070390A">
      <w:pPr>
        <w:pStyle w:val="Odstavecseseznamem"/>
        <w:numPr>
          <w:ilvl w:val="0"/>
          <w:numId w:val="17"/>
        </w:numPr>
        <w:spacing w:before="0" w:line="240" w:lineRule="auto"/>
        <w:ind w:left="1080"/>
        <w:contextualSpacing w:val="0"/>
        <w:rPr>
          <w:rFonts w:ascii="Arial" w:eastAsiaTheme="majorEastAsia" w:hAnsi="Arial" w:cs="Arial"/>
          <w:bCs/>
          <w:sz w:val="20"/>
          <w:szCs w:val="20"/>
        </w:rPr>
      </w:pPr>
      <w:r w:rsidRPr="00062937">
        <w:rPr>
          <w:rFonts w:ascii="Arial" w:eastAsiaTheme="majorEastAsia" w:hAnsi="Arial" w:cs="Arial"/>
          <w:bCs/>
          <w:sz w:val="20"/>
          <w:szCs w:val="20"/>
        </w:rPr>
        <w:t xml:space="preserve">Výzva </w:t>
      </w:r>
      <w:r>
        <w:rPr>
          <w:rFonts w:ascii="Arial" w:eastAsiaTheme="majorEastAsia" w:hAnsi="Arial" w:cs="Arial"/>
          <w:bCs/>
          <w:sz w:val="20"/>
          <w:szCs w:val="20"/>
        </w:rPr>
        <w:t xml:space="preserve">pro předkládání žádostí o podporu </w:t>
      </w:r>
      <w:r w:rsidRPr="00062937">
        <w:rPr>
          <w:rFonts w:ascii="Arial" w:eastAsiaTheme="majorEastAsia" w:hAnsi="Arial" w:cs="Arial"/>
          <w:bCs/>
          <w:sz w:val="20"/>
          <w:szCs w:val="20"/>
        </w:rPr>
        <w:t>je otevřená od 1.11.2015 do 15.1.2016.</w:t>
      </w:r>
    </w:p>
    <w:p w:rsidR="00062937" w:rsidRPr="00062937" w:rsidRDefault="00062937" w:rsidP="0070390A">
      <w:pPr>
        <w:pStyle w:val="Odstavecseseznamem"/>
        <w:numPr>
          <w:ilvl w:val="0"/>
          <w:numId w:val="17"/>
        </w:numPr>
        <w:spacing w:before="0" w:line="240" w:lineRule="auto"/>
        <w:ind w:left="1080"/>
        <w:contextualSpacing w:val="0"/>
        <w:rPr>
          <w:rFonts w:ascii="Arial" w:eastAsiaTheme="majorEastAsia" w:hAnsi="Arial" w:cs="Arial"/>
          <w:bCs/>
          <w:sz w:val="20"/>
          <w:szCs w:val="20"/>
        </w:rPr>
      </w:pPr>
      <w:r w:rsidRPr="00062937">
        <w:rPr>
          <w:rFonts w:ascii="Arial" w:eastAsiaTheme="majorEastAsia" w:hAnsi="Arial" w:cs="Arial"/>
          <w:bCs/>
          <w:sz w:val="20"/>
          <w:szCs w:val="20"/>
        </w:rPr>
        <w:t>Alokace programu je cca 80 mil. Kč.</w:t>
      </w:r>
    </w:p>
    <w:p w:rsidR="00062937" w:rsidRPr="002B3C7C" w:rsidRDefault="00062937" w:rsidP="002B3C7C">
      <w:pPr>
        <w:spacing w:before="0" w:line="240" w:lineRule="auto"/>
        <w:ind w:left="360"/>
        <w:rPr>
          <w:rFonts w:ascii="Arial" w:eastAsiaTheme="majorEastAsia" w:hAnsi="Arial" w:cs="Arial"/>
          <w:b/>
          <w:bCs/>
          <w:sz w:val="20"/>
          <w:szCs w:val="20"/>
        </w:rPr>
      </w:pPr>
      <w:r w:rsidRPr="002B3C7C">
        <w:rPr>
          <w:rFonts w:ascii="Arial" w:eastAsiaTheme="majorEastAsia" w:hAnsi="Arial" w:cs="Arial"/>
          <w:b/>
          <w:bCs/>
          <w:sz w:val="20"/>
          <w:szCs w:val="20"/>
        </w:rPr>
        <w:t>NPPCR 2016 – 2020</w:t>
      </w:r>
    </w:p>
    <w:p w:rsidR="00DD0A4C" w:rsidRDefault="00062937" w:rsidP="002B3C7C">
      <w:pPr>
        <w:spacing w:before="0" w:after="120" w:line="240" w:lineRule="auto"/>
        <w:ind w:left="360"/>
        <w:rPr>
          <w:rFonts w:ascii="Arial" w:eastAsiaTheme="majorEastAsia" w:hAnsi="Arial" w:cs="Arial"/>
          <w:bCs/>
          <w:sz w:val="20"/>
          <w:szCs w:val="20"/>
        </w:rPr>
      </w:pPr>
      <w:r>
        <w:rPr>
          <w:rFonts w:ascii="Arial" w:eastAsiaTheme="majorEastAsia" w:hAnsi="Arial" w:cs="Arial"/>
          <w:bCs/>
          <w:sz w:val="20"/>
          <w:szCs w:val="20"/>
        </w:rPr>
        <w:t xml:space="preserve">V současné době </w:t>
      </w:r>
      <w:r w:rsidR="00DD0A4C">
        <w:rPr>
          <w:rFonts w:ascii="Arial" w:eastAsiaTheme="majorEastAsia" w:hAnsi="Arial" w:cs="Arial"/>
          <w:bCs/>
          <w:sz w:val="20"/>
          <w:szCs w:val="20"/>
        </w:rPr>
        <w:t>probíhají intenzivní</w:t>
      </w:r>
      <w:r>
        <w:rPr>
          <w:rFonts w:ascii="Arial" w:eastAsiaTheme="majorEastAsia" w:hAnsi="Arial" w:cs="Arial"/>
          <w:bCs/>
          <w:sz w:val="20"/>
          <w:szCs w:val="20"/>
        </w:rPr>
        <w:t xml:space="preserve"> </w:t>
      </w:r>
      <w:r w:rsidR="00DD0A4C">
        <w:rPr>
          <w:rFonts w:ascii="Arial" w:eastAsiaTheme="majorEastAsia" w:hAnsi="Arial" w:cs="Arial"/>
          <w:bCs/>
          <w:sz w:val="20"/>
          <w:szCs w:val="20"/>
        </w:rPr>
        <w:t xml:space="preserve">aktivity </w:t>
      </w:r>
      <w:r>
        <w:rPr>
          <w:rFonts w:ascii="Arial" w:eastAsiaTheme="majorEastAsia" w:hAnsi="Arial" w:cs="Arial"/>
          <w:bCs/>
          <w:sz w:val="20"/>
          <w:szCs w:val="20"/>
        </w:rPr>
        <w:t>na vytvoření nového národního dotačního titulu pro</w:t>
      </w:r>
      <w:r w:rsidR="00DD0A4C">
        <w:rPr>
          <w:rFonts w:ascii="Arial" w:eastAsiaTheme="majorEastAsia" w:hAnsi="Arial" w:cs="Arial"/>
          <w:bCs/>
          <w:sz w:val="20"/>
          <w:szCs w:val="20"/>
        </w:rPr>
        <w:t> </w:t>
      </w:r>
      <w:r>
        <w:rPr>
          <w:rFonts w:ascii="Arial" w:eastAsiaTheme="majorEastAsia" w:hAnsi="Arial" w:cs="Arial"/>
          <w:bCs/>
          <w:sz w:val="20"/>
          <w:szCs w:val="20"/>
        </w:rPr>
        <w:t>oblast cestovního ruchu</w:t>
      </w:r>
      <w:r w:rsidR="00DD0A4C">
        <w:rPr>
          <w:rFonts w:ascii="Arial" w:eastAsiaTheme="majorEastAsia" w:hAnsi="Arial" w:cs="Arial"/>
          <w:bCs/>
          <w:sz w:val="20"/>
          <w:szCs w:val="20"/>
        </w:rPr>
        <w:t xml:space="preserve"> na období 2016+. Je uvažováno o vytvoření dvou programů. </w:t>
      </w:r>
    </w:p>
    <w:p w:rsidR="00DD0A4C" w:rsidRDefault="00DD0A4C" w:rsidP="002B3C7C">
      <w:pPr>
        <w:spacing w:before="0" w:after="120" w:line="240" w:lineRule="auto"/>
        <w:ind w:left="360"/>
        <w:rPr>
          <w:rFonts w:ascii="Arial" w:eastAsiaTheme="majorEastAsia" w:hAnsi="Arial" w:cs="Arial"/>
          <w:bCs/>
          <w:sz w:val="20"/>
          <w:szCs w:val="20"/>
        </w:rPr>
      </w:pPr>
      <w:r>
        <w:rPr>
          <w:rFonts w:ascii="Arial" w:eastAsiaTheme="majorEastAsia" w:hAnsi="Arial" w:cs="Arial"/>
          <w:bCs/>
          <w:sz w:val="20"/>
          <w:szCs w:val="20"/>
        </w:rPr>
        <w:t>Jeden program by byl určen na podporu investic primárně pro podnikatelské subjekty, na určité aktivity by v rámci tohoto programu mohly čerpat i samosprávné subjekty i turistické informační centra.</w:t>
      </w:r>
    </w:p>
    <w:p w:rsidR="00062937" w:rsidRDefault="00DD0A4C" w:rsidP="002B3C7C">
      <w:pPr>
        <w:spacing w:before="0" w:after="120" w:line="240" w:lineRule="auto"/>
        <w:ind w:left="360"/>
        <w:rPr>
          <w:rFonts w:ascii="Arial" w:eastAsiaTheme="majorEastAsia" w:hAnsi="Arial" w:cs="Arial"/>
          <w:bCs/>
          <w:sz w:val="20"/>
          <w:szCs w:val="20"/>
        </w:rPr>
      </w:pPr>
      <w:r>
        <w:rPr>
          <w:rFonts w:ascii="Arial" w:eastAsiaTheme="majorEastAsia" w:hAnsi="Arial" w:cs="Arial"/>
          <w:bCs/>
          <w:sz w:val="20"/>
          <w:szCs w:val="20"/>
        </w:rPr>
        <w:t>Druhý program by byl zaměřen na realizaci neinvestičních / marketingových a vzdělávacích aktivit pro</w:t>
      </w:r>
      <w:r w:rsidR="002B3C7C">
        <w:rPr>
          <w:rFonts w:ascii="Arial" w:eastAsiaTheme="majorEastAsia" w:hAnsi="Arial" w:cs="Arial"/>
          <w:bCs/>
          <w:sz w:val="20"/>
          <w:szCs w:val="20"/>
        </w:rPr>
        <w:t> </w:t>
      </w:r>
      <w:r>
        <w:rPr>
          <w:rFonts w:ascii="Arial" w:eastAsiaTheme="majorEastAsia" w:hAnsi="Arial" w:cs="Arial"/>
          <w:bCs/>
          <w:sz w:val="20"/>
          <w:szCs w:val="20"/>
        </w:rPr>
        <w:t>destinační společnosti, případně krajské oddělení cestovního ruchu v případě, že není zřízena krajská destinační společnost. V rámci tohoto programu se předpokládá vyhlášení dvou výzev a to výzvy pro krajské destinační společnosti a výzvy pro oblastní a lokální destinace.</w:t>
      </w:r>
    </w:p>
    <w:p w:rsidR="00DD0A4C" w:rsidRPr="002B3C7C" w:rsidRDefault="00DD0A4C" w:rsidP="002B3C7C">
      <w:pPr>
        <w:spacing w:before="0" w:after="120" w:line="240" w:lineRule="auto"/>
        <w:ind w:left="360"/>
        <w:rPr>
          <w:rFonts w:ascii="Arial" w:eastAsiaTheme="majorEastAsia" w:hAnsi="Arial" w:cs="Arial"/>
          <w:b/>
          <w:bCs/>
          <w:sz w:val="20"/>
          <w:szCs w:val="20"/>
        </w:rPr>
      </w:pPr>
      <w:r w:rsidRPr="002B3C7C">
        <w:rPr>
          <w:rFonts w:ascii="Arial" w:eastAsiaTheme="majorEastAsia" w:hAnsi="Arial" w:cs="Arial"/>
          <w:b/>
          <w:bCs/>
          <w:sz w:val="20"/>
          <w:szCs w:val="20"/>
        </w:rPr>
        <w:t>Program podpory cestovního ruchu</w:t>
      </w:r>
    </w:p>
    <w:p w:rsidR="002B3C7C" w:rsidRPr="002B3C7C" w:rsidRDefault="00DD0A4C" w:rsidP="0070390A">
      <w:pPr>
        <w:pStyle w:val="Odstavecseseznamem"/>
        <w:numPr>
          <w:ilvl w:val="0"/>
          <w:numId w:val="18"/>
        </w:numPr>
        <w:spacing w:before="0" w:line="240" w:lineRule="auto"/>
        <w:ind w:left="1080"/>
        <w:contextualSpacing w:val="0"/>
        <w:rPr>
          <w:rFonts w:ascii="Arial" w:eastAsiaTheme="majorEastAsia" w:hAnsi="Arial" w:cs="Arial"/>
          <w:bCs/>
          <w:sz w:val="20"/>
          <w:szCs w:val="20"/>
        </w:rPr>
      </w:pPr>
      <w:r w:rsidRPr="002B3C7C">
        <w:rPr>
          <w:rFonts w:ascii="Arial" w:eastAsiaTheme="majorEastAsia" w:hAnsi="Arial" w:cs="Arial"/>
          <w:bCs/>
          <w:sz w:val="20"/>
          <w:szCs w:val="20"/>
        </w:rPr>
        <w:t xml:space="preserve">Oprávnění žadatelé: </w:t>
      </w:r>
    </w:p>
    <w:p w:rsidR="00DD0A4C" w:rsidRPr="002B3C7C" w:rsidRDefault="00DD0A4C" w:rsidP="0070390A">
      <w:pPr>
        <w:pStyle w:val="Odstavecseseznamem"/>
        <w:numPr>
          <w:ilvl w:val="1"/>
          <w:numId w:val="20"/>
        </w:numPr>
        <w:spacing w:before="0" w:line="240" w:lineRule="auto"/>
        <w:ind w:left="1800"/>
        <w:contextualSpacing w:val="0"/>
        <w:rPr>
          <w:rFonts w:ascii="Arial" w:eastAsiaTheme="majorEastAsia" w:hAnsi="Arial" w:cs="Arial"/>
          <w:bCs/>
          <w:sz w:val="20"/>
          <w:szCs w:val="20"/>
        </w:rPr>
      </w:pPr>
      <w:r w:rsidRPr="002B3C7C">
        <w:rPr>
          <w:rFonts w:ascii="Arial" w:eastAsiaTheme="majorEastAsia" w:hAnsi="Arial" w:cs="Arial"/>
          <w:bCs/>
          <w:sz w:val="20"/>
          <w:szCs w:val="20"/>
        </w:rPr>
        <w:t xml:space="preserve">podnikatelské subjekty, samosprávné subjekty, </w:t>
      </w:r>
      <w:r w:rsidR="002B3C7C" w:rsidRPr="002B3C7C">
        <w:rPr>
          <w:rFonts w:ascii="Arial" w:eastAsiaTheme="majorEastAsia" w:hAnsi="Arial" w:cs="Arial"/>
          <w:bCs/>
          <w:sz w:val="20"/>
          <w:szCs w:val="20"/>
        </w:rPr>
        <w:t>TIC</w:t>
      </w:r>
    </w:p>
    <w:p w:rsidR="002B3C7C" w:rsidRPr="002B3C7C" w:rsidRDefault="002B3C7C" w:rsidP="0070390A">
      <w:pPr>
        <w:pStyle w:val="Odstavecseseznamem"/>
        <w:numPr>
          <w:ilvl w:val="0"/>
          <w:numId w:val="18"/>
        </w:numPr>
        <w:spacing w:before="0" w:line="240" w:lineRule="auto"/>
        <w:ind w:left="1080"/>
        <w:contextualSpacing w:val="0"/>
        <w:rPr>
          <w:rFonts w:ascii="Arial" w:eastAsiaTheme="majorEastAsia" w:hAnsi="Arial" w:cs="Arial"/>
          <w:bCs/>
          <w:sz w:val="20"/>
          <w:szCs w:val="20"/>
        </w:rPr>
      </w:pPr>
      <w:r w:rsidRPr="002B3C7C">
        <w:rPr>
          <w:rFonts w:ascii="Arial" w:eastAsiaTheme="majorEastAsia" w:hAnsi="Arial" w:cs="Arial"/>
          <w:bCs/>
          <w:sz w:val="20"/>
          <w:szCs w:val="20"/>
        </w:rPr>
        <w:t>Návrh podporovaných aktivit:</w:t>
      </w:r>
    </w:p>
    <w:p w:rsidR="00823180" w:rsidRPr="00DD0A4C" w:rsidRDefault="0070390A" w:rsidP="0070390A">
      <w:pPr>
        <w:numPr>
          <w:ilvl w:val="1"/>
          <w:numId w:val="19"/>
        </w:numPr>
        <w:spacing w:before="0" w:after="120" w:line="240" w:lineRule="auto"/>
        <w:ind w:left="1800"/>
        <w:rPr>
          <w:rFonts w:ascii="Arial" w:eastAsiaTheme="majorEastAsia" w:hAnsi="Arial" w:cs="Arial"/>
          <w:bCs/>
          <w:sz w:val="20"/>
          <w:szCs w:val="20"/>
        </w:rPr>
      </w:pPr>
      <w:r w:rsidRPr="00DD0A4C">
        <w:rPr>
          <w:rFonts w:ascii="Arial" w:eastAsiaTheme="majorEastAsia" w:hAnsi="Arial" w:cs="Arial"/>
          <w:bCs/>
          <w:sz w:val="20"/>
          <w:szCs w:val="20"/>
        </w:rPr>
        <w:t xml:space="preserve">podpora vybudování/ rekonstrukce atraktivit regionu </w:t>
      </w:r>
      <w:r w:rsidRPr="00DD0A4C">
        <w:rPr>
          <w:rFonts w:ascii="Arial" w:eastAsiaTheme="majorEastAsia" w:hAnsi="Arial" w:cs="Arial"/>
          <w:bCs/>
          <w:sz w:val="20"/>
          <w:szCs w:val="20"/>
        </w:rPr>
        <w:br/>
        <w:t>a doprovodné infrastruktury</w:t>
      </w:r>
    </w:p>
    <w:p w:rsidR="00823180" w:rsidRPr="00DD0A4C" w:rsidRDefault="0070390A" w:rsidP="0070390A">
      <w:pPr>
        <w:numPr>
          <w:ilvl w:val="1"/>
          <w:numId w:val="19"/>
        </w:numPr>
        <w:spacing w:before="0" w:after="120" w:line="240" w:lineRule="auto"/>
        <w:ind w:left="1800"/>
        <w:rPr>
          <w:rFonts w:ascii="Arial" w:eastAsiaTheme="majorEastAsia" w:hAnsi="Arial" w:cs="Arial"/>
          <w:bCs/>
          <w:sz w:val="20"/>
          <w:szCs w:val="20"/>
        </w:rPr>
      </w:pPr>
      <w:r w:rsidRPr="00DD0A4C">
        <w:rPr>
          <w:rFonts w:ascii="Arial" w:eastAsiaTheme="majorEastAsia" w:hAnsi="Arial" w:cs="Arial"/>
          <w:bCs/>
          <w:sz w:val="20"/>
          <w:szCs w:val="20"/>
        </w:rPr>
        <w:t>přizpůsobení infrastruktury cestovního ruchu specifickým cílovým skupinám</w:t>
      </w:r>
    </w:p>
    <w:p w:rsidR="00823180" w:rsidRPr="00DD0A4C" w:rsidRDefault="0070390A" w:rsidP="0070390A">
      <w:pPr>
        <w:numPr>
          <w:ilvl w:val="1"/>
          <w:numId w:val="19"/>
        </w:numPr>
        <w:spacing w:before="0" w:after="120" w:line="240" w:lineRule="auto"/>
        <w:ind w:left="1800"/>
        <w:rPr>
          <w:rFonts w:ascii="Arial" w:eastAsiaTheme="majorEastAsia" w:hAnsi="Arial" w:cs="Arial"/>
          <w:bCs/>
          <w:sz w:val="20"/>
          <w:szCs w:val="20"/>
        </w:rPr>
      </w:pPr>
      <w:r w:rsidRPr="00DD0A4C">
        <w:rPr>
          <w:rFonts w:ascii="Arial" w:eastAsiaTheme="majorEastAsia" w:hAnsi="Arial" w:cs="Arial"/>
          <w:bCs/>
          <w:sz w:val="20"/>
          <w:szCs w:val="20"/>
        </w:rPr>
        <w:t>modernizace stávajících kempů (sociální zařízení, vybavení kempů, společenské prostory, sportovní aktivity, kuchyňka)</w:t>
      </w:r>
    </w:p>
    <w:p w:rsidR="00823180" w:rsidRPr="00DD0A4C" w:rsidRDefault="0070390A" w:rsidP="0070390A">
      <w:pPr>
        <w:numPr>
          <w:ilvl w:val="1"/>
          <w:numId w:val="19"/>
        </w:numPr>
        <w:spacing w:before="0" w:after="120" w:line="240" w:lineRule="auto"/>
        <w:ind w:left="1800"/>
        <w:rPr>
          <w:rFonts w:ascii="Arial" w:eastAsiaTheme="majorEastAsia" w:hAnsi="Arial" w:cs="Arial"/>
          <w:bCs/>
          <w:sz w:val="20"/>
          <w:szCs w:val="20"/>
        </w:rPr>
      </w:pPr>
      <w:r w:rsidRPr="00DD0A4C">
        <w:rPr>
          <w:rFonts w:ascii="Arial" w:eastAsiaTheme="majorEastAsia" w:hAnsi="Arial" w:cs="Arial"/>
          <w:bCs/>
          <w:sz w:val="20"/>
          <w:szCs w:val="20"/>
        </w:rPr>
        <w:t>monitoring návštěvníků</w:t>
      </w:r>
    </w:p>
    <w:p w:rsidR="00823180" w:rsidRDefault="0070390A" w:rsidP="0070390A">
      <w:pPr>
        <w:numPr>
          <w:ilvl w:val="1"/>
          <w:numId w:val="19"/>
        </w:numPr>
        <w:spacing w:before="0" w:after="120" w:line="240" w:lineRule="auto"/>
        <w:ind w:left="1800"/>
        <w:rPr>
          <w:rFonts w:ascii="Arial" w:eastAsiaTheme="majorEastAsia" w:hAnsi="Arial" w:cs="Arial"/>
          <w:bCs/>
          <w:sz w:val="20"/>
          <w:szCs w:val="20"/>
        </w:rPr>
      </w:pPr>
      <w:r w:rsidRPr="00DD0A4C">
        <w:rPr>
          <w:rFonts w:ascii="Arial" w:eastAsiaTheme="majorEastAsia" w:hAnsi="Arial" w:cs="Arial"/>
          <w:bCs/>
          <w:sz w:val="20"/>
          <w:szCs w:val="20"/>
        </w:rPr>
        <w:t>navigační a informační systémy pro účastníky cestovního ruchu</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podpora činnosti Turistických informačních center /TIC/ (ne provoz) a spolupráce TIC s destinačními společnostmi (rekonstrukce, dovybavení, bezbariérovost, prodej regionálních produktů, prostor pro propagaci území, atd.)</w:t>
      </w:r>
    </w:p>
    <w:p w:rsidR="002B3C7C" w:rsidRPr="002B3C7C" w:rsidRDefault="002B3C7C" w:rsidP="002B3C7C">
      <w:pPr>
        <w:spacing w:before="0" w:after="120" w:line="240" w:lineRule="auto"/>
        <w:ind w:left="360"/>
        <w:rPr>
          <w:rFonts w:ascii="Arial" w:eastAsiaTheme="majorEastAsia" w:hAnsi="Arial" w:cs="Arial"/>
          <w:b/>
          <w:bCs/>
          <w:sz w:val="20"/>
          <w:szCs w:val="20"/>
        </w:rPr>
      </w:pPr>
      <w:r w:rsidRPr="002B3C7C">
        <w:rPr>
          <w:rFonts w:ascii="Arial" w:eastAsiaTheme="majorEastAsia" w:hAnsi="Arial" w:cs="Arial"/>
          <w:b/>
          <w:bCs/>
          <w:sz w:val="20"/>
          <w:szCs w:val="20"/>
        </w:rPr>
        <w:t>Podpora cestovního ruchu v destinacích</w:t>
      </w:r>
    </w:p>
    <w:p w:rsidR="002B3C7C" w:rsidRPr="002B3C7C" w:rsidRDefault="002B3C7C" w:rsidP="0070390A">
      <w:pPr>
        <w:pStyle w:val="Odstavecseseznamem"/>
        <w:numPr>
          <w:ilvl w:val="0"/>
          <w:numId w:val="18"/>
        </w:numPr>
        <w:spacing w:before="0" w:line="240" w:lineRule="auto"/>
        <w:ind w:left="1080"/>
        <w:contextualSpacing w:val="0"/>
        <w:rPr>
          <w:rFonts w:ascii="Arial" w:eastAsiaTheme="majorEastAsia" w:hAnsi="Arial" w:cs="Arial"/>
          <w:bCs/>
          <w:sz w:val="20"/>
          <w:szCs w:val="20"/>
        </w:rPr>
      </w:pPr>
      <w:r w:rsidRPr="002B3C7C">
        <w:rPr>
          <w:rFonts w:ascii="Arial" w:eastAsiaTheme="majorEastAsia" w:hAnsi="Arial" w:cs="Arial"/>
          <w:bCs/>
          <w:sz w:val="20"/>
          <w:szCs w:val="20"/>
        </w:rPr>
        <w:t xml:space="preserve">Oprávnění žadatelé: </w:t>
      </w:r>
    </w:p>
    <w:p w:rsidR="002B3C7C" w:rsidRPr="002B3C7C" w:rsidRDefault="002B3C7C" w:rsidP="0070390A">
      <w:pPr>
        <w:pStyle w:val="Odstavecseseznamem"/>
        <w:numPr>
          <w:ilvl w:val="1"/>
          <w:numId w:val="20"/>
        </w:numPr>
        <w:spacing w:before="0" w:line="240" w:lineRule="auto"/>
        <w:ind w:left="1800"/>
        <w:contextualSpacing w:val="0"/>
        <w:rPr>
          <w:rFonts w:ascii="Arial" w:eastAsiaTheme="majorEastAsia" w:hAnsi="Arial" w:cs="Arial"/>
          <w:bCs/>
          <w:sz w:val="20"/>
          <w:szCs w:val="20"/>
        </w:rPr>
      </w:pPr>
      <w:r>
        <w:rPr>
          <w:rFonts w:ascii="Arial" w:eastAsiaTheme="majorEastAsia" w:hAnsi="Arial" w:cs="Arial"/>
          <w:bCs/>
          <w:sz w:val="20"/>
          <w:szCs w:val="20"/>
        </w:rPr>
        <w:lastRenderedPageBreak/>
        <w:t>Destinační společnosti</w:t>
      </w:r>
    </w:p>
    <w:p w:rsidR="002B3C7C" w:rsidRPr="002B3C7C" w:rsidRDefault="002B3C7C" w:rsidP="0070390A">
      <w:pPr>
        <w:pStyle w:val="Odstavecseseznamem"/>
        <w:keepNext/>
        <w:keepLines/>
        <w:numPr>
          <w:ilvl w:val="0"/>
          <w:numId w:val="18"/>
        </w:numPr>
        <w:spacing w:before="0" w:line="240" w:lineRule="auto"/>
        <w:ind w:left="1080" w:hanging="357"/>
        <w:contextualSpacing w:val="0"/>
        <w:rPr>
          <w:rFonts w:ascii="Arial" w:eastAsiaTheme="majorEastAsia" w:hAnsi="Arial" w:cs="Arial"/>
          <w:bCs/>
          <w:sz w:val="20"/>
          <w:szCs w:val="20"/>
        </w:rPr>
      </w:pPr>
      <w:r w:rsidRPr="002B3C7C">
        <w:rPr>
          <w:rFonts w:ascii="Arial" w:eastAsiaTheme="majorEastAsia" w:hAnsi="Arial" w:cs="Arial"/>
          <w:bCs/>
          <w:sz w:val="20"/>
          <w:szCs w:val="20"/>
        </w:rPr>
        <w:t>Návrh podporovaných aktivit:</w:t>
      </w:r>
    </w:p>
    <w:p w:rsidR="00823180" w:rsidRPr="002B3C7C" w:rsidRDefault="0070390A" w:rsidP="0070390A">
      <w:pPr>
        <w:keepNext/>
        <w:keepLines/>
        <w:numPr>
          <w:ilvl w:val="1"/>
          <w:numId w:val="19"/>
        </w:numPr>
        <w:spacing w:before="0" w:after="120" w:line="240" w:lineRule="auto"/>
        <w:ind w:left="1800" w:hanging="357"/>
        <w:rPr>
          <w:rFonts w:ascii="Arial" w:eastAsiaTheme="majorEastAsia" w:hAnsi="Arial" w:cs="Arial"/>
          <w:bCs/>
          <w:sz w:val="20"/>
          <w:szCs w:val="20"/>
        </w:rPr>
      </w:pPr>
      <w:r w:rsidRPr="002B3C7C">
        <w:rPr>
          <w:rFonts w:ascii="Arial" w:eastAsiaTheme="majorEastAsia" w:hAnsi="Arial" w:cs="Arial"/>
          <w:bCs/>
          <w:sz w:val="20"/>
          <w:szCs w:val="20"/>
        </w:rPr>
        <w:t>tvorba nových produktů, podpora regionálních produktů, tvorba programů pro specifické cílové skupiny</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marketing a propagace domácího cestovního ruchu</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 xml:space="preserve">vytvoření loga a </w:t>
      </w:r>
      <w:proofErr w:type="spellStart"/>
      <w:r w:rsidRPr="002B3C7C">
        <w:rPr>
          <w:rFonts w:ascii="Arial" w:eastAsiaTheme="majorEastAsia" w:hAnsi="Arial" w:cs="Arial"/>
          <w:bCs/>
          <w:sz w:val="20"/>
          <w:szCs w:val="20"/>
        </w:rPr>
        <w:t>branding</w:t>
      </w:r>
      <w:proofErr w:type="spellEnd"/>
      <w:r w:rsidRPr="002B3C7C">
        <w:rPr>
          <w:rFonts w:ascii="Arial" w:eastAsiaTheme="majorEastAsia" w:hAnsi="Arial" w:cs="Arial"/>
          <w:bCs/>
          <w:sz w:val="20"/>
          <w:szCs w:val="20"/>
        </w:rPr>
        <w:t xml:space="preserve"> destinace </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propagace místních regionálních produktů se zaměřením na destinaci jako takovou-kulturně přírodní majetek</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podpora moderních IT technologií v destinacích (intranet destinace, marketingové informační a řídící informační systémy destinací, vytváření cestovatelských aplikací, pořízení IT vybavení)</w:t>
      </w:r>
    </w:p>
    <w:p w:rsidR="00823180" w:rsidRPr="002B3C7C" w:rsidRDefault="0070390A" w:rsidP="0070390A">
      <w:pPr>
        <w:numPr>
          <w:ilvl w:val="1"/>
          <w:numId w:val="19"/>
        </w:numPr>
        <w:spacing w:before="0" w:after="120" w:line="240" w:lineRule="auto"/>
        <w:ind w:left="1800"/>
        <w:rPr>
          <w:rFonts w:ascii="Arial" w:eastAsiaTheme="majorEastAsia" w:hAnsi="Arial" w:cs="Arial"/>
          <w:bCs/>
          <w:sz w:val="20"/>
          <w:szCs w:val="20"/>
        </w:rPr>
      </w:pPr>
      <w:r w:rsidRPr="002B3C7C">
        <w:rPr>
          <w:rFonts w:ascii="Arial" w:eastAsiaTheme="majorEastAsia" w:hAnsi="Arial" w:cs="Arial"/>
          <w:bCs/>
          <w:sz w:val="20"/>
          <w:szCs w:val="20"/>
        </w:rPr>
        <w:t>monitoring návštěvníků</w:t>
      </w:r>
    </w:p>
    <w:p w:rsidR="002B3C7C" w:rsidRDefault="002B3C7C" w:rsidP="002B3C7C">
      <w:pPr>
        <w:spacing w:before="0" w:after="120" w:line="240" w:lineRule="auto"/>
        <w:ind w:left="360"/>
        <w:rPr>
          <w:rFonts w:ascii="Arial" w:eastAsiaTheme="majorEastAsia" w:hAnsi="Arial" w:cs="Arial"/>
          <w:bCs/>
          <w:sz w:val="20"/>
          <w:szCs w:val="20"/>
        </w:rPr>
      </w:pPr>
      <w:r>
        <w:rPr>
          <w:rFonts w:ascii="Arial" w:eastAsiaTheme="majorEastAsia" w:hAnsi="Arial" w:cs="Arial"/>
          <w:bCs/>
          <w:sz w:val="20"/>
          <w:szCs w:val="20"/>
        </w:rPr>
        <w:t xml:space="preserve">Předpokládaná alokace obou programů je 300 mil. Kč v roce 2016. MMR prověřuje různé modely systémů poskytování podpory, které by umožnily další navyšování alokace a tím i zvýšení počtu realizovaných projektů a jejich přínosů. </w:t>
      </w:r>
    </w:p>
    <w:p w:rsidR="002B3C7C" w:rsidRDefault="002B3C7C" w:rsidP="00CB5777">
      <w:pPr>
        <w:pStyle w:val="Nadpis2"/>
        <w:shd w:val="clear" w:color="auto" w:fill="92D050"/>
      </w:pPr>
      <w:bookmarkStart w:id="10" w:name="_Toc434585084"/>
      <w:r>
        <w:t xml:space="preserve">Rozvoj </w:t>
      </w:r>
      <w:r w:rsidR="00A82104">
        <w:t>S</w:t>
      </w:r>
      <w:r>
        <w:t>atelitního účtu cestovního ruchu</w:t>
      </w:r>
      <w:bookmarkEnd w:id="10"/>
    </w:p>
    <w:p w:rsidR="00A82104" w:rsidRDefault="00A82104" w:rsidP="00A82104">
      <w:pPr>
        <w:spacing w:before="0" w:after="120" w:line="240" w:lineRule="auto"/>
        <w:rPr>
          <w:rFonts w:ascii="Arial" w:eastAsiaTheme="majorEastAsia" w:hAnsi="Arial" w:cs="Arial"/>
          <w:bCs/>
          <w:sz w:val="20"/>
          <w:szCs w:val="20"/>
        </w:rPr>
      </w:pPr>
      <w:r>
        <w:rPr>
          <w:rFonts w:ascii="Arial" w:eastAsiaTheme="majorEastAsia" w:hAnsi="Arial" w:cs="Arial"/>
          <w:bCs/>
          <w:sz w:val="20"/>
          <w:szCs w:val="20"/>
        </w:rPr>
        <w:t xml:space="preserve">Další rozvoj Satelitního účtu cestovního ruchu je realizován prostřednictvím projektu IOP a v rámci zakázky </w:t>
      </w:r>
      <w:r w:rsidRPr="00D1549D">
        <w:rPr>
          <w:rFonts w:ascii="Arial" w:eastAsiaTheme="majorEastAsia" w:hAnsi="Arial" w:cs="Arial"/>
          <w:bCs/>
          <w:sz w:val="20"/>
          <w:szCs w:val="20"/>
        </w:rPr>
        <w:t>„Pilotní analýza alternativních metod šetření příjezdového cest. Ruchu</w:t>
      </w:r>
      <w:r>
        <w:rPr>
          <w:rFonts w:ascii="Arial" w:eastAsiaTheme="majorEastAsia" w:hAnsi="Arial" w:cs="Arial"/>
          <w:bCs/>
          <w:sz w:val="20"/>
          <w:szCs w:val="20"/>
        </w:rPr>
        <w:t xml:space="preserve">“ (VZMR). </w:t>
      </w:r>
    </w:p>
    <w:p w:rsidR="00D1549D" w:rsidRDefault="00D1549D" w:rsidP="00A82104">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Na základě definitivní podoby metodiky stanovené pracovní skupinou na statistiku cestovního ruchu proběhlo v září a 1</w:t>
      </w:r>
      <w:r w:rsidR="00A82104">
        <w:rPr>
          <w:rFonts w:ascii="Arial" w:eastAsiaTheme="majorEastAsia" w:hAnsi="Arial" w:cs="Arial"/>
          <w:bCs/>
          <w:sz w:val="20"/>
          <w:szCs w:val="20"/>
        </w:rPr>
        <w:t>.</w:t>
      </w:r>
      <w:r w:rsidRPr="00D1549D">
        <w:rPr>
          <w:rFonts w:ascii="Arial" w:eastAsiaTheme="majorEastAsia" w:hAnsi="Arial" w:cs="Arial"/>
          <w:bCs/>
          <w:sz w:val="20"/>
          <w:szCs w:val="20"/>
        </w:rPr>
        <w:t xml:space="preserve"> týden v říjnu terénní šetření počtu a struktury zahraničních a tuzemských návštěvníků v 5 vybraných lokalitách vhodných pro dotazování (celkem 10 směn, do 10.10.</w:t>
      </w:r>
      <w:r>
        <w:rPr>
          <w:rFonts w:ascii="Arial" w:eastAsiaTheme="majorEastAsia" w:hAnsi="Arial" w:cs="Arial"/>
          <w:bCs/>
          <w:sz w:val="20"/>
          <w:szCs w:val="20"/>
        </w:rPr>
        <w:t>2015</w:t>
      </w:r>
      <w:r w:rsidRPr="00D1549D">
        <w:rPr>
          <w:rFonts w:ascii="Arial" w:eastAsiaTheme="majorEastAsia" w:hAnsi="Arial" w:cs="Arial"/>
          <w:bCs/>
          <w:sz w:val="20"/>
          <w:szCs w:val="20"/>
        </w:rPr>
        <w:t>). V</w:t>
      </w:r>
      <w:r>
        <w:rPr>
          <w:rFonts w:ascii="Arial" w:eastAsiaTheme="majorEastAsia" w:hAnsi="Arial" w:cs="Arial"/>
          <w:bCs/>
          <w:sz w:val="20"/>
          <w:szCs w:val="20"/>
        </w:rPr>
        <w:t> </w:t>
      </w:r>
      <w:r w:rsidRPr="00D1549D">
        <w:rPr>
          <w:rFonts w:ascii="Arial" w:eastAsiaTheme="majorEastAsia" w:hAnsi="Arial" w:cs="Arial"/>
          <w:bCs/>
          <w:sz w:val="20"/>
          <w:szCs w:val="20"/>
        </w:rPr>
        <w:t>průběhu šetření byly lokality zaměřeny i mobilním operátorem z důvodu srovnání</w:t>
      </w:r>
      <w:r w:rsidR="00A82104">
        <w:rPr>
          <w:rFonts w:ascii="Arial" w:eastAsiaTheme="majorEastAsia" w:hAnsi="Arial" w:cs="Arial"/>
          <w:bCs/>
          <w:sz w:val="20"/>
          <w:szCs w:val="20"/>
        </w:rPr>
        <w:t xml:space="preserve"> získaných dat</w:t>
      </w:r>
      <w:r w:rsidRPr="00D1549D">
        <w:rPr>
          <w:rFonts w:ascii="Arial" w:eastAsiaTheme="majorEastAsia" w:hAnsi="Arial" w:cs="Arial"/>
          <w:bCs/>
          <w:sz w:val="20"/>
          <w:szCs w:val="20"/>
        </w:rPr>
        <w:t>. Zároveň proběhlo podrobné dotazování zahraničních návštěvníků na výdaje spojené s návštěvou ČR (přes</w:t>
      </w:r>
      <w:r>
        <w:rPr>
          <w:rFonts w:ascii="Arial" w:eastAsiaTheme="majorEastAsia" w:hAnsi="Arial" w:cs="Arial"/>
          <w:bCs/>
          <w:sz w:val="20"/>
          <w:szCs w:val="20"/>
        </w:rPr>
        <w:t> </w:t>
      </w:r>
      <w:r w:rsidRPr="00D1549D">
        <w:rPr>
          <w:rFonts w:ascii="Arial" w:eastAsiaTheme="majorEastAsia" w:hAnsi="Arial" w:cs="Arial"/>
          <w:bCs/>
          <w:sz w:val="20"/>
          <w:szCs w:val="20"/>
        </w:rPr>
        <w:t xml:space="preserve">400 rozhovorů). </w:t>
      </w:r>
    </w:p>
    <w:p w:rsidR="00D1549D" w:rsidRDefault="00D1549D" w:rsidP="00A82104">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Pracovníci OCR provedli 5 kontrol tazatelské sítě – v každé lokalitě v 1 termínu (Telč, ZOO v Lešné u</w:t>
      </w:r>
      <w:r>
        <w:rPr>
          <w:rFonts w:ascii="Arial" w:eastAsiaTheme="majorEastAsia" w:hAnsi="Arial" w:cs="Arial"/>
          <w:bCs/>
          <w:sz w:val="20"/>
          <w:szCs w:val="20"/>
        </w:rPr>
        <w:t> </w:t>
      </w:r>
      <w:r w:rsidRPr="00D1549D">
        <w:rPr>
          <w:rFonts w:ascii="Arial" w:eastAsiaTheme="majorEastAsia" w:hAnsi="Arial" w:cs="Arial"/>
          <w:bCs/>
          <w:sz w:val="20"/>
          <w:szCs w:val="20"/>
        </w:rPr>
        <w:t xml:space="preserve">Zlína, Adršpašsko-teplické skály, Karlštejn, OC Teplice). </w:t>
      </w:r>
    </w:p>
    <w:p w:rsidR="00D1549D" w:rsidRDefault="00D1549D" w:rsidP="00A82104">
      <w:pPr>
        <w:spacing w:before="0" w:after="120" w:line="240" w:lineRule="auto"/>
        <w:rPr>
          <w:rFonts w:ascii="Arial" w:eastAsiaTheme="majorEastAsia" w:hAnsi="Arial" w:cs="Arial"/>
          <w:bCs/>
          <w:sz w:val="20"/>
          <w:szCs w:val="20"/>
        </w:rPr>
      </w:pPr>
      <w:r>
        <w:rPr>
          <w:rFonts w:ascii="Arial" w:eastAsiaTheme="majorEastAsia" w:hAnsi="Arial" w:cs="Arial"/>
          <w:bCs/>
          <w:sz w:val="20"/>
          <w:szCs w:val="20"/>
        </w:rPr>
        <w:t xml:space="preserve">Plnění proběhlo v souladu s harmonogramem projektu a dle smlouvy o dílo. Dne </w:t>
      </w:r>
      <w:r w:rsidRPr="00D1549D">
        <w:rPr>
          <w:rFonts w:ascii="Arial" w:eastAsiaTheme="majorEastAsia" w:hAnsi="Arial" w:cs="Arial"/>
          <w:bCs/>
          <w:sz w:val="20"/>
          <w:szCs w:val="20"/>
        </w:rPr>
        <w:t>15.10.</w:t>
      </w:r>
      <w:r>
        <w:rPr>
          <w:rFonts w:ascii="Arial" w:eastAsiaTheme="majorEastAsia" w:hAnsi="Arial" w:cs="Arial"/>
          <w:bCs/>
          <w:sz w:val="20"/>
          <w:szCs w:val="20"/>
        </w:rPr>
        <w:t>2015</w:t>
      </w:r>
      <w:r w:rsidRPr="00D1549D">
        <w:rPr>
          <w:rFonts w:ascii="Arial" w:eastAsiaTheme="majorEastAsia" w:hAnsi="Arial" w:cs="Arial"/>
          <w:bCs/>
          <w:sz w:val="20"/>
          <w:szCs w:val="20"/>
        </w:rPr>
        <w:t xml:space="preserve"> </w:t>
      </w:r>
      <w:r>
        <w:rPr>
          <w:rFonts w:ascii="Arial" w:eastAsiaTheme="majorEastAsia" w:hAnsi="Arial" w:cs="Arial"/>
          <w:bCs/>
          <w:sz w:val="20"/>
          <w:szCs w:val="20"/>
        </w:rPr>
        <w:t>d</w:t>
      </w:r>
      <w:r w:rsidRPr="00D1549D">
        <w:rPr>
          <w:rFonts w:ascii="Arial" w:eastAsiaTheme="majorEastAsia" w:hAnsi="Arial" w:cs="Arial"/>
          <w:bCs/>
          <w:sz w:val="20"/>
          <w:szCs w:val="20"/>
        </w:rPr>
        <w:t>ošlo k</w:t>
      </w:r>
      <w:r>
        <w:rPr>
          <w:rFonts w:ascii="Arial" w:eastAsiaTheme="majorEastAsia" w:hAnsi="Arial" w:cs="Arial"/>
          <w:bCs/>
          <w:sz w:val="20"/>
          <w:szCs w:val="20"/>
        </w:rPr>
        <w:t> </w:t>
      </w:r>
      <w:r w:rsidRPr="00D1549D">
        <w:rPr>
          <w:rFonts w:ascii="Arial" w:eastAsiaTheme="majorEastAsia" w:hAnsi="Arial" w:cs="Arial"/>
          <w:bCs/>
          <w:sz w:val="20"/>
          <w:szCs w:val="20"/>
        </w:rPr>
        <w:t>předání 2.</w:t>
      </w:r>
      <w:r>
        <w:rPr>
          <w:rFonts w:ascii="Arial" w:eastAsiaTheme="majorEastAsia" w:hAnsi="Arial" w:cs="Arial"/>
          <w:bCs/>
          <w:sz w:val="20"/>
          <w:szCs w:val="20"/>
        </w:rPr>
        <w:t> </w:t>
      </w:r>
      <w:r w:rsidRPr="00D1549D">
        <w:rPr>
          <w:rFonts w:ascii="Arial" w:eastAsiaTheme="majorEastAsia" w:hAnsi="Arial" w:cs="Arial"/>
          <w:bCs/>
          <w:sz w:val="20"/>
          <w:szCs w:val="20"/>
        </w:rPr>
        <w:t xml:space="preserve">části díla </w:t>
      </w:r>
      <w:r>
        <w:rPr>
          <w:rFonts w:ascii="Arial" w:eastAsiaTheme="majorEastAsia" w:hAnsi="Arial" w:cs="Arial"/>
          <w:bCs/>
          <w:sz w:val="20"/>
          <w:szCs w:val="20"/>
        </w:rPr>
        <w:t xml:space="preserve">(zpracované výstupy: </w:t>
      </w:r>
      <w:r w:rsidRPr="00D1549D">
        <w:rPr>
          <w:rFonts w:ascii="Arial" w:eastAsiaTheme="majorEastAsia" w:hAnsi="Arial" w:cs="Arial"/>
          <w:bCs/>
          <w:sz w:val="20"/>
          <w:szCs w:val="20"/>
        </w:rPr>
        <w:t>databáze GSM dat a databáze F2F sebraných dat + průvodní zpráva)</w:t>
      </w:r>
      <w:r>
        <w:rPr>
          <w:rFonts w:ascii="Arial" w:eastAsiaTheme="majorEastAsia" w:hAnsi="Arial" w:cs="Arial"/>
          <w:bCs/>
          <w:sz w:val="20"/>
          <w:szCs w:val="20"/>
        </w:rPr>
        <w:t xml:space="preserve">. </w:t>
      </w:r>
      <w:r w:rsidRPr="00D1549D">
        <w:rPr>
          <w:rFonts w:ascii="Arial" w:eastAsiaTheme="majorEastAsia" w:hAnsi="Arial" w:cs="Arial"/>
          <w:bCs/>
          <w:sz w:val="20"/>
          <w:szCs w:val="20"/>
        </w:rPr>
        <w:t>Nyní probíhá zpracování dat dodavatelem a</w:t>
      </w:r>
      <w:r>
        <w:rPr>
          <w:rFonts w:ascii="Arial" w:eastAsiaTheme="majorEastAsia" w:hAnsi="Arial" w:cs="Arial"/>
          <w:bCs/>
          <w:sz w:val="20"/>
          <w:szCs w:val="20"/>
        </w:rPr>
        <w:t> </w:t>
      </w:r>
      <w:r w:rsidRPr="00D1549D">
        <w:rPr>
          <w:rFonts w:ascii="Arial" w:eastAsiaTheme="majorEastAsia" w:hAnsi="Arial" w:cs="Arial"/>
          <w:bCs/>
          <w:sz w:val="20"/>
          <w:szCs w:val="20"/>
        </w:rPr>
        <w:t>13.11.2015 bude předána 3.</w:t>
      </w:r>
      <w:r w:rsidR="00A82104">
        <w:rPr>
          <w:rFonts w:ascii="Arial" w:eastAsiaTheme="majorEastAsia" w:hAnsi="Arial" w:cs="Arial"/>
          <w:bCs/>
          <w:sz w:val="20"/>
          <w:szCs w:val="20"/>
        </w:rPr>
        <w:t> a </w:t>
      </w:r>
      <w:r w:rsidRPr="00D1549D">
        <w:rPr>
          <w:rFonts w:ascii="Arial" w:eastAsiaTheme="majorEastAsia" w:hAnsi="Arial" w:cs="Arial"/>
          <w:bCs/>
          <w:sz w:val="20"/>
          <w:szCs w:val="20"/>
        </w:rPr>
        <w:t>závěrečná část díla. V průběhu akceptačního řízení proběhne jednání pracovní skupiny (24.11.</w:t>
      </w:r>
      <w:r w:rsidR="00A82104">
        <w:rPr>
          <w:rFonts w:ascii="Arial" w:eastAsiaTheme="majorEastAsia" w:hAnsi="Arial" w:cs="Arial"/>
          <w:bCs/>
          <w:sz w:val="20"/>
          <w:szCs w:val="20"/>
        </w:rPr>
        <w:t>2015</w:t>
      </w:r>
      <w:r w:rsidRPr="00D1549D">
        <w:rPr>
          <w:rFonts w:ascii="Arial" w:eastAsiaTheme="majorEastAsia" w:hAnsi="Arial" w:cs="Arial"/>
          <w:bCs/>
          <w:sz w:val="20"/>
          <w:szCs w:val="20"/>
        </w:rPr>
        <w:t xml:space="preserve">). </w:t>
      </w:r>
      <w:r w:rsidR="00A82104">
        <w:rPr>
          <w:rFonts w:ascii="Arial" w:eastAsiaTheme="majorEastAsia" w:hAnsi="Arial" w:cs="Arial"/>
          <w:bCs/>
          <w:sz w:val="20"/>
          <w:szCs w:val="20"/>
        </w:rPr>
        <w:t>V případě akceptace všech výstupů projektu by mělo dojít k</w:t>
      </w:r>
      <w:r w:rsidRPr="00D1549D">
        <w:rPr>
          <w:rFonts w:ascii="Arial" w:eastAsiaTheme="majorEastAsia" w:hAnsi="Arial" w:cs="Arial"/>
          <w:bCs/>
          <w:sz w:val="20"/>
          <w:szCs w:val="20"/>
        </w:rPr>
        <w:t xml:space="preserve"> proplacení hlavní zakázky projektu a čerpání částky 943 800,- Kč (s DPH).</w:t>
      </w:r>
    </w:p>
    <w:p w:rsidR="002B3C7C" w:rsidRDefault="002B3C7C" w:rsidP="00CB5777">
      <w:pPr>
        <w:pStyle w:val="Nadpis2"/>
        <w:shd w:val="clear" w:color="auto" w:fill="92D050"/>
      </w:pPr>
      <w:bookmarkStart w:id="11" w:name="_Toc434585085"/>
      <w:r>
        <w:t>Realizace marketingových výzkumů</w:t>
      </w:r>
      <w:bookmarkEnd w:id="11"/>
    </w:p>
    <w:p w:rsidR="00AA1F11" w:rsidRPr="00CB5777" w:rsidRDefault="00AA1F11" w:rsidP="00CB5777">
      <w:pPr>
        <w:pStyle w:val="Odstavecseseznamem"/>
        <w:numPr>
          <w:ilvl w:val="0"/>
          <w:numId w:val="31"/>
        </w:numPr>
        <w:spacing w:before="0" w:line="240" w:lineRule="auto"/>
        <w:rPr>
          <w:rFonts w:ascii="Arial" w:hAnsi="Arial" w:cs="Arial"/>
          <w:sz w:val="20"/>
          <w:szCs w:val="20"/>
        </w:rPr>
      </w:pPr>
      <w:r w:rsidRPr="00CB5777">
        <w:rPr>
          <w:rFonts w:ascii="Arial" w:hAnsi="Arial" w:cs="Arial"/>
          <w:sz w:val="20"/>
          <w:szCs w:val="20"/>
        </w:rPr>
        <w:t>Přehled marketingových výzkumů realizovaných agenturou CzechTourism v roce 2015 dle témat:</w:t>
      </w:r>
    </w:p>
    <w:p w:rsidR="00AA1F11" w:rsidRPr="00AA1F11" w:rsidRDefault="00AA1F11" w:rsidP="00CB5777">
      <w:pPr>
        <w:spacing w:before="0" w:after="120" w:line="240" w:lineRule="auto"/>
        <w:ind w:left="360"/>
        <w:rPr>
          <w:rFonts w:ascii="Arial" w:hAnsi="Arial" w:cs="Arial"/>
          <w:b/>
          <w:sz w:val="20"/>
          <w:szCs w:val="20"/>
        </w:rPr>
      </w:pPr>
      <w:r w:rsidRPr="00AA1F11">
        <w:rPr>
          <w:rFonts w:ascii="Arial" w:hAnsi="Arial" w:cs="Arial"/>
          <w:b/>
          <w:sz w:val="20"/>
          <w:szCs w:val="20"/>
        </w:rPr>
        <w:t>Analýzy a výzkumy</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r w:rsidRPr="00AA1F11">
        <w:rPr>
          <w:rFonts w:ascii="Arial" w:hAnsi="Arial" w:cs="Arial"/>
          <w:sz w:val="20"/>
          <w:szCs w:val="20"/>
        </w:rPr>
        <w:t>Příjezdový cestovní ruch 2015 – zaměřeno na získání dat o příjezdovém cestovním ruchu do ČR, slouží jako podklad pro tvorbu satelitního účtu cestovního ruchu, realizováno v období 04 – 12/2015</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r w:rsidRPr="00AA1F11">
        <w:rPr>
          <w:rFonts w:ascii="Arial" w:hAnsi="Arial" w:cs="Arial"/>
          <w:sz w:val="20"/>
          <w:szCs w:val="20"/>
        </w:rPr>
        <w:t xml:space="preserve">Analýza Návštěvnost českých hor – zaměřeno na zjištění celkové návštěvnosti jednotlivých českých hor během různých období roku (vánoční svátky a Nový rok, zimní sezona, Velikonoce, letní sezona a mezisezona) a na zjištění profilu návštěvníků českých hor – k dispozici </w:t>
      </w:r>
      <w:proofErr w:type="spellStart"/>
      <w:r w:rsidRPr="00AA1F11">
        <w:rPr>
          <w:rFonts w:ascii="Arial" w:hAnsi="Arial" w:cs="Arial"/>
          <w:sz w:val="20"/>
          <w:szCs w:val="20"/>
        </w:rPr>
        <w:t>prefinální</w:t>
      </w:r>
      <w:proofErr w:type="spellEnd"/>
      <w:r w:rsidRPr="00AA1F11">
        <w:rPr>
          <w:rFonts w:ascii="Arial" w:hAnsi="Arial" w:cs="Arial"/>
          <w:sz w:val="20"/>
          <w:szCs w:val="20"/>
        </w:rPr>
        <w:t xml:space="preserve"> zpráva</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proofErr w:type="spellStart"/>
      <w:r w:rsidRPr="00AA1F11">
        <w:rPr>
          <w:rFonts w:ascii="Arial" w:hAnsi="Arial" w:cs="Arial"/>
          <w:sz w:val="20"/>
          <w:szCs w:val="20"/>
        </w:rPr>
        <w:t>Mystery</w:t>
      </w:r>
      <w:proofErr w:type="spellEnd"/>
      <w:r w:rsidRPr="00AA1F11">
        <w:rPr>
          <w:rFonts w:ascii="Arial" w:hAnsi="Arial" w:cs="Arial"/>
          <w:sz w:val="20"/>
          <w:szCs w:val="20"/>
        </w:rPr>
        <w:t xml:space="preserve"> </w:t>
      </w:r>
      <w:proofErr w:type="spellStart"/>
      <w:r w:rsidRPr="00AA1F11">
        <w:rPr>
          <w:rFonts w:ascii="Arial" w:hAnsi="Arial" w:cs="Arial"/>
          <w:sz w:val="20"/>
          <w:szCs w:val="20"/>
        </w:rPr>
        <w:t>shopping</w:t>
      </w:r>
      <w:proofErr w:type="spellEnd"/>
      <w:r w:rsidRPr="00AA1F11">
        <w:rPr>
          <w:rFonts w:ascii="Arial" w:hAnsi="Arial" w:cs="Arial"/>
          <w:sz w:val="20"/>
          <w:szCs w:val="20"/>
        </w:rPr>
        <w:t xml:space="preserve"> turistických informačních center – proběhlo v létě 2015, k dispozici závěrečná zpráva</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r w:rsidRPr="00AA1F11">
        <w:rPr>
          <w:rFonts w:ascii="Arial" w:hAnsi="Arial" w:cs="Arial"/>
          <w:sz w:val="20"/>
          <w:szCs w:val="20"/>
        </w:rPr>
        <w:t>Analýza přínosů pořádání velkých sportovních akcí pro ČR – k dispozici analýza</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r w:rsidRPr="00AA1F11">
        <w:rPr>
          <w:rFonts w:ascii="Arial" w:hAnsi="Arial" w:cs="Arial"/>
          <w:sz w:val="20"/>
          <w:szCs w:val="20"/>
        </w:rPr>
        <w:t>Zjišťování spokojenosti rezidentů s rozvojem cestovního ruchu na území jejich bydliště – realizováno ve spolupráci s vysokými školami v regionech</w:t>
      </w:r>
    </w:p>
    <w:p w:rsidR="00AA1F11" w:rsidRPr="00AA1F11" w:rsidRDefault="00AA1F11" w:rsidP="00CB5777">
      <w:pPr>
        <w:pStyle w:val="Odstavecseseznamem"/>
        <w:numPr>
          <w:ilvl w:val="0"/>
          <w:numId w:val="24"/>
        </w:numPr>
        <w:spacing w:before="0" w:line="240" w:lineRule="auto"/>
        <w:ind w:left="1080"/>
        <w:contextualSpacing w:val="0"/>
        <w:rPr>
          <w:rFonts w:ascii="Arial" w:hAnsi="Arial" w:cs="Arial"/>
          <w:sz w:val="20"/>
          <w:szCs w:val="20"/>
        </w:rPr>
      </w:pPr>
      <w:r w:rsidRPr="00AA1F11">
        <w:rPr>
          <w:rFonts w:ascii="Arial" w:hAnsi="Arial" w:cs="Arial"/>
          <w:sz w:val="20"/>
          <w:szCs w:val="20"/>
        </w:rPr>
        <w:lastRenderedPageBreak/>
        <w:t>Omnibus – plány Čechů na letní sezonu, Plány Čechů na zimní sezonu (právě probíhá)</w:t>
      </w:r>
    </w:p>
    <w:p w:rsidR="00AA1F11" w:rsidRPr="00AA1F11" w:rsidRDefault="00AA1F11" w:rsidP="00CB5777">
      <w:pPr>
        <w:spacing w:before="0" w:after="120" w:line="240" w:lineRule="auto"/>
        <w:ind w:left="360"/>
        <w:rPr>
          <w:rFonts w:ascii="Arial" w:hAnsi="Arial" w:cs="Arial"/>
          <w:b/>
          <w:sz w:val="20"/>
          <w:szCs w:val="20"/>
        </w:rPr>
      </w:pPr>
      <w:r w:rsidRPr="00AA1F11">
        <w:rPr>
          <w:rFonts w:ascii="Arial" w:hAnsi="Arial" w:cs="Arial"/>
          <w:b/>
          <w:sz w:val="20"/>
          <w:szCs w:val="20"/>
        </w:rPr>
        <w:t>Měření a testování aktivit CzechTourism</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 xml:space="preserve">Měření PR aktivit ZZ – především ukazatele AVE, OTS, </w:t>
      </w:r>
      <w:proofErr w:type="spellStart"/>
      <w:r w:rsidRPr="00AA1F11">
        <w:rPr>
          <w:rFonts w:ascii="Arial" w:hAnsi="Arial" w:cs="Arial"/>
          <w:sz w:val="20"/>
          <w:szCs w:val="20"/>
        </w:rPr>
        <w:t>Favorability</w:t>
      </w:r>
      <w:proofErr w:type="spellEnd"/>
      <w:r w:rsidRPr="00AA1F11">
        <w:rPr>
          <w:rFonts w:ascii="Arial" w:hAnsi="Arial" w:cs="Arial"/>
          <w:sz w:val="20"/>
          <w:szCs w:val="20"/>
        </w:rPr>
        <w:t>, k dispozici měsíční zprávy 01 – 08/2015 a pololetní souhrnná zpráva</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 xml:space="preserve">Měření aktivit na sociálních sítích  - počet fanoušků, engagement </w:t>
      </w:r>
      <w:proofErr w:type="spellStart"/>
      <w:r w:rsidRPr="00AA1F11">
        <w:rPr>
          <w:rFonts w:ascii="Arial" w:hAnsi="Arial" w:cs="Arial"/>
          <w:sz w:val="20"/>
          <w:szCs w:val="20"/>
        </w:rPr>
        <w:t>rate</w:t>
      </w:r>
      <w:proofErr w:type="spellEnd"/>
      <w:r w:rsidRPr="00AA1F11">
        <w:rPr>
          <w:rFonts w:ascii="Arial" w:hAnsi="Arial" w:cs="Arial"/>
          <w:sz w:val="20"/>
          <w:szCs w:val="20"/>
        </w:rPr>
        <w:t>, nejoblíbenější a</w:t>
      </w:r>
      <w:r>
        <w:rPr>
          <w:rFonts w:ascii="Arial" w:hAnsi="Arial" w:cs="Arial"/>
          <w:sz w:val="20"/>
          <w:szCs w:val="20"/>
        </w:rPr>
        <w:t> </w:t>
      </w:r>
      <w:r w:rsidRPr="00AA1F11">
        <w:rPr>
          <w:rFonts w:ascii="Arial" w:hAnsi="Arial" w:cs="Arial"/>
          <w:sz w:val="20"/>
          <w:szCs w:val="20"/>
        </w:rPr>
        <w:t>nejúspěšnější příspěvky, k dispozici měsíční zprávy do 10/2015</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 xml:space="preserve">Atraktivita a přínos expozice na veletrzích ITB Berlín, </w:t>
      </w:r>
      <w:proofErr w:type="spellStart"/>
      <w:r w:rsidRPr="00AA1F11">
        <w:rPr>
          <w:rFonts w:ascii="Arial" w:hAnsi="Arial" w:cs="Arial"/>
          <w:sz w:val="20"/>
          <w:szCs w:val="20"/>
        </w:rPr>
        <w:t>HolidayWorld</w:t>
      </w:r>
      <w:proofErr w:type="spellEnd"/>
      <w:r w:rsidRPr="00AA1F11">
        <w:rPr>
          <w:rFonts w:ascii="Arial" w:hAnsi="Arial" w:cs="Arial"/>
          <w:sz w:val="20"/>
          <w:szCs w:val="20"/>
        </w:rPr>
        <w:t>, k dispozici závěrečné zprávy</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Testování brožur CzechTourism – německý trh a DCR - k dispozici závěrečné zprávy</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proofErr w:type="spellStart"/>
      <w:r w:rsidRPr="00AA1F11">
        <w:rPr>
          <w:rFonts w:ascii="Arial" w:hAnsi="Arial" w:cs="Arial"/>
          <w:sz w:val="20"/>
          <w:szCs w:val="20"/>
        </w:rPr>
        <w:t>Pre</w:t>
      </w:r>
      <w:proofErr w:type="spellEnd"/>
      <w:r w:rsidRPr="00AA1F11">
        <w:rPr>
          <w:rFonts w:ascii="Arial" w:hAnsi="Arial" w:cs="Arial"/>
          <w:sz w:val="20"/>
          <w:szCs w:val="20"/>
        </w:rPr>
        <w:t>-test zimní DCR kampaně – testování spotu a vizuálů, k dispozici závěrečná zpráva</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Reporting 2015 – online systém zaměřený na průběžné vyplňování a vyhodnocování výstupů aktivit  CzechTourism, k dispozici zpráva za 01 – 08/2015</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proofErr w:type="spellStart"/>
      <w:r w:rsidRPr="00AA1F11">
        <w:rPr>
          <w:rFonts w:ascii="Arial" w:hAnsi="Arial" w:cs="Arial"/>
          <w:sz w:val="20"/>
          <w:szCs w:val="20"/>
        </w:rPr>
        <w:t>Pre</w:t>
      </w:r>
      <w:proofErr w:type="spellEnd"/>
      <w:r w:rsidRPr="00AA1F11">
        <w:rPr>
          <w:rFonts w:ascii="Arial" w:hAnsi="Arial" w:cs="Arial"/>
          <w:sz w:val="20"/>
          <w:szCs w:val="20"/>
        </w:rPr>
        <w:t>-test kampaně Karel IV. 2016 – v přípravě</w:t>
      </w:r>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proofErr w:type="spellStart"/>
      <w:r w:rsidRPr="00AA1F11">
        <w:rPr>
          <w:rFonts w:ascii="Arial" w:hAnsi="Arial" w:cs="Arial"/>
          <w:sz w:val="20"/>
          <w:szCs w:val="20"/>
        </w:rPr>
        <w:t>Tracking</w:t>
      </w:r>
      <w:proofErr w:type="spellEnd"/>
      <w:r w:rsidRPr="00AA1F11">
        <w:rPr>
          <w:rFonts w:ascii="Arial" w:hAnsi="Arial" w:cs="Arial"/>
          <w:sz w:val="20"/>
          <w:szCs w:val="20"/>
        </w:rPr>
        <w:t xml:space="preserve"> </w:t>
      </w:r>
      <w:proofErr w:type="spellStart"/>
      <w:r w:rsidRPr="00AA1F11">
        <w:rPr>
          <w:rFonts w:ascii="Arial" w:hAnsi="Arial" w:cs="Arial"/>
          <w:sz w:val="20"/>
          <w:szCs w:val="20"/>
        </w:rPr>
        <w:t>kamapně</w:t>
      </w:r>
      <w:proofErr w:type="spellEnd"/>
      <w:r w:rsidRPr="00AA1F11">
        <w:rPr>
          <w:rFonts w:ascii="Arial" w:hAnsi="Arial" w:cs="Arial"/>
          <w:sz w:val="20"/>
          <w:szCs w:val="20"/>
        </w:rPr>
        <w:t xml:space="preserve"> „Česko – naše destinace“ – </w:t>
      </w:r>
      <w:proofErr w:type="spellStart"/>
      <w:r w:rsidRPr="00AA1F11">
        <w:rPr>
          <w:rFonts w:ascii="Arial" w:hAnsi="Arial" w:cs="Arial"/>
          <w:sz w:val="20"/>
          <w:szCs w:val="20"/>
        </w:rPr>
        <w:t>pre</w:t>
      </w:r>
      <w:proofErr w:type="spellEnd"/>
      <w:r w:rsidRPr="00AA1F11">
        <w:rPr>
          <w:rFonts w:ascii="Arial" w:hAnsi="Arial" w:cs="Arial"/>
          <w:sz w:val="20"/>
          <w:szCs w:val="20"/>
        </w:rPr>
        <w:t xml:space="preserve">-test kampaně, vyhodnocení zásahu kampaně – k dispozici zpráva za </w:t>
      </w:r>
      <w:proofErr w:type="spellStart"/>
      <w:r w:rsidRPr="00AA1F11">
        <w:rPr>
          <w:rFonts w:ascii="Arial" w:hAnsi="Arial" w:cs="Arial"/>
          <w:sz w:val="20"/>
          <w:szCs w:val="20"/>
        </w:rPr>
        <w:t>pre</w:t>
      </w:r>
      <w:proofErr w:type="spellEnd"/>
      <w:r w:rsidRPr="00AA1F11">
        <w:rPr>
          <w:rFonts w:ascii="Arial" w:hAnsi="Arial" w:cs="Arial"/>
          <w:sz w:val="20"/>
          <w:szCs w:val="20"/>
        </w:rPr>
        <w:t xml:space="preserve">-test a 1. vlnu </w:t>
      </w:r>
      <w:proofErr w:type="spellStart"/>
      <w:r w:rsidRPr="00AA1F11">
        <w:rPr>
          <w:rFonts w:ascii="Arial" w:hAnsi="Arial" w:cs="Arial"/>
          <w:sz w:val="20"/>
          <w:szCs w:val="20"/>
        </w:rPr>
        <w:t>trackingu</w:t>
      </w:r>
      <w:proofErr w:type="spellEnd"/>
    </w:p>
    <w:p w:rsidR="00AA1F11" w:rsidRPr="00AA1F11" w:rsidRDefault="00AA1F11" w:rsidP="00CB5777">
      <w:pPr>
        <w:pStyle w:val="Odstavecseseznamem"/>
        <w:numPr>
          <w:ilvl w:val="0"/>
          <w:numId w:val="28"/>
        </w:numPr>
        <w:spacing w:before="0" w:line="240" w:lineRule="auto"/>
        <w:ind w:left="1080"/>
        <w:contextualSpacing w:val="0"/>
        <w:rPr>
          <w:rFonts w:ascii="Arial" w:hAnsi="Arial" w:cs="Arial"/>
          <w:sz w:val="20"/>
          <w:szCs w:val="20"/>
        </w:rPr>
      </w:pPr>
      <w:r w:rsidRPr="00AA1F11">
        <w:rPr>
          <w:rFonts w:ascii="Arial" w:hAnsi="Arial" w:cs="Arial"/>
          <w:sz w:val="20"/>
          <w:szCs w:val="20"/>
        </w:rPr>
        <w:t xml:space="preserve">Zjištění </w:t>
      </w:r>
      <w:proofErr w:type="spellStart"/>
      <w:r w:rsidRPr="00AA1F11">
        <w:rPr>
          <w:rFonts w:ascii="Arial" w:hAnsi="Arial" w:cs="Arial"/>
          <w:sz w:val="20"/>
          <w:szCs w:val="20"/>
        </w:rPr>
        <w:t>Location</w:t>
      </w:r>
      <w:proofErr w:type="spellEnd"/>
      <w:r w:rsidRPr="00AA1F11">
        <w:rPr>
          <w:rFonts w:ascii="Arial" w:hAnsi="Arial" w:cs="Arial"/>
          <w:sz w:val="20"/>
          <w:szCs w:val="20"/>
        </w:rPr>
        <w:t xml:space="preserve"> </w:t>
      </w:r>
      <w:proofErr w:type="spellStart"/>
      <w:r w:rsidRPr="00AA1F11">
        <w:rPr>
          <w:rFonts w:ascii="Arial" w:hAnsi="Arial" w:cs="Arial"/>
          <w:sz w:val="20"/>
          <w:szCs w:val="20"/>
        </w:rPr>
        <w:t>Placement</w:t>
      </w:r>
      <w:proofErr w:type="spellEnd"/>
      <w:r w:rsidRPr="00AA1F11">
        <w:rPr>
          <w:rFonts w:ascii="Arial" w:hAnsi="Arial" w:cs="Arial"/>
          <w:sz w:val="20"/>
          <w:szCs w:val="20"/>
        </w:rPr>
        <w:t xml:space="preserve">  </w:t>
      </w:r>
      <w:proofErr w:type="spellStart"/>
      <w:r w:rsidRPr="00AA1F11">
        <w:rPr>
          <w:rFonts w:ascii="Arial" w:hAnsi="Arial" w:cs="Arial"/>
          <w:sz w:val="20"/>
          <w:szCs w:val="20"/>
        </w:rPr>
        <w:t>Value</w:t>
      </w:r>
      <w:proofErr w:type="spellEnd"/>
      <w:r w:rsidRPr="00AA1F11">
        <w:rPr>
          <w:rFonts w:ascii="Arial" w:hAnsi="Arial" w:cs="Arial"/>
          <w:sz w:val="20"/>
          <w:szCs w:val="20"/>
        </w:rPr>
        <w:t xml:space="preserve"> kampaně k čínskému filmu </w:t>
      </w:r>
      <w:proofErr w:type="spellStart"/>
      <w:r w:rsidRPr="00AA1F11">
        <w:rPr>
          <w:rFonts w:ascii="Arial" w:hAnsi="Arial" w:cs="Arial"/>
          <w:sz w:val="20"/>
          <w:szCs w:val="20"/>
        </w:rPr>
        <w:t>Somewhere</w:t>
      </w:r>
      <w:proofErr w:type="spellEnd"/>
      <w:r w:rsidRPr="00AA1F11">
        <w:rPr>
          <w:rFonts w:ascii="Arial" w:hAnsi="Arial" w:cs="Arial"/>
          <w:sz w:val="20"/>
          <w:szCs w:val="20"/>
        </w:rPr>
        <w:t xml:space="preserve"> </w:t>
      </w:r>
      <w:proofErr w:type="spellStart"/>
      <w:r w:rsidRPr="00AA1F11">
        <w:rPr>
          <w:rFonts w:ascii="Arial" w:hAnsi="Arial" w:cs="Arial"/>
          <w:sz w:val="20"/>
          <w:szCs w:val="20"/>
        </w:rPr>
        <w:t>only</w:t>
      </w:r>
      <w:proofErr w:type="spellEnd"/>
      <w:r w:rsidRPr="00AA1F11">
        <w:rPr>
          <w:rFonts w:ascii="Arial" w:hAnsi="Arial" w:cs="Arial"/>
          <w:sz w:val="20"/>
          <w:szCs w:val="20"/>
        </w:rPr>
        <w:t xml:space="preserve"> </w:t>
      </w:r>
      <w:proofErr w:type="spellStart"/>
      <w:r w:rsidRPr="00AA1F11">
        <w:rPr>
          <w:rFonts w:ascii="Arial" w:hAnsi="Arial" w:cs="Arial"/>
          <w:sz w:val="20"/>
          <w:szCs w:val="20"/>
        </w:rPr>
        <w:t>we</w:t>
      </w:r>
      <w:proofErr w:type="spellEnd"/>
      <w:r w:rsidRPr="00AA1F11">
        <w:rPr>
          <w:rFonts w:ascii="Arial" w:hAnsi="Arial" w:cs="Arial"/>
          <w:sz w:val="20"/>
          <w:szCs w:val="20"/>
        </w:rPr>
        <w:t xml:space="preserve"> </w:t>
      </w:r>
      <w:proofErr w:type="spellStart"/>
      <w:r w:rsidRPr="00AA1F11">
        <w:rPr>
          <w:rFonts w:ascii="Arial" w:hAnsi="Arial" w:cs="Arial"/>
          <w:sz w:val="20"/>
          <w:szCs w:val="20"/>
        </w:rPr>
        <w:t>know</w:t>
      </w:r>
      <w:proofErr w:type="spellEnd"/>
      <w:r w:rsidRPr="00AA1F11">
        <w:rPr>
          <w:rFonts w:ascii="Arial" w:hAnsi="Arial" w:cs="Arial"/>
          <w:sz w:val="20"/>
          <w:szCs w:val="20"/>
        </w:rPr>
        <w:t>, k dispozici závěrečná zpráva</w:t>
      </w:r>
    </w:p>
    <w:p w:rsidR="00AA1F11" w:rsidRPr="00AA1F11" w:rsidRDefault="00AA1F11" w:rsidP="00CB5777">
      <w:pPr>
        <w:spacing w:before="0" w:after="120" w:line="240" w:lineRule="auto"/>
        <w:ind w:left="360"/>
        <w:rPr>
          <w:rFonts w:ascii="Arial" w:hAnsi="Arial" w:cs="Arial"/>
          <w:b/>
          <w:sz w:val="20"/>
          <w:szCs w:val="20"/>
        </w:rPr>
      </w:pPr>
      <w:r w:rsidRPr="00AA1F11">
        <w:rPr>
          <w:rFonts w:ascii="Arial" w:hAnsi="Arial" w:cs="Arial"/>
          <w:b/>
          <w:sz w:val="20"/>
          <w:szCs w:val="20"/>
        </w:rPr>
        <w:t>Zhodnocení nejvýznamnějších eventů</w:t>
      </w:r>
    </w:p>
    <w:p w:rsidR="00AA1F11" w:rsidRPr="00AA1F11" w:rsidRDefault="00AA1F11" w:rsidP="00CB5777">
      <w:pPr>
        <w:pStyle w:val="Odstavecseseznamem"/>
        <w:numPr>
          <w:ilvl w:val="0"/>
          <w:numId w:val="29"/>
        </w:numPr>
        <w:spacing w:before="0" w:line="240" w:lineRule="auto"/>
        <w:ind w:left="1080"/>
        <w:contextualSpacing w:val="0"/>
        <w:rPr>
          <w:rFonts w:ascii="Arial" w:hAnsi="Arial" w:cs="Arial"/>
          <w:sz w:val="20"/>
          <w:szCs w:val="20"/>
        </w:rPr>
      </w:pPr>
      <w:r w:rsidRPr="00AA1F11">
        <w:rPr>
          <w:rFonts w:ascii="Arial" w:hAnsi="Arial" w:cs="Arial"/>
          <w:sz w:val="20"/>
          <w:szCs w:val="20"/>
        </w:rPr>
        <w:t>Plzeň 2015 – zjištění profilu návštěvníků a jejich výdajů na 10 vybraných akcích během roku, zjištění návštěvnosti vybraných 6 akcí v průběhu roku, k dispozici hrubé výsledky za proběhlé akce, celkové vyčíslení přínosu akce bude k dispozici v prosinci</w:t>
      </w:r>
    </w:p>
    <w:p w:rsidR="00AA1F11" w:rsidRPr="00AA1F11" w:rsidRDefault="00AA1F11" w:rsidP="00CB5777">
      <w:pPr>
        <w:pStyle w:val="Odstavecseseznamem"/>
        <w:numPr>
          <w:ilvl w:val="0"/>
          <w:numId w:val="29"/>
        </w:numPr>
        <w:spacing w:before="0" w:line="240" w:lineRule="auto"/>
        <w:ind w:left="1080"/>
        <w:contextualSpacing w:val="0"/>
        <w:rPr>
          <w:rFonts w:ascii="Arial" w:hAnsi="Arial" w:cs="Arial"/>
          <w:sz w:val="20"/>
          <w:szCs w:val="20"/>
        </w:rPr>
      </w:pPr>
      <w:r w:rsidRPr="00AA1F11">
        <w:rPr>
          <w:rFonts w:ascii="Arial" w:hAnsi="Arial" w:cs="Arial"/>
          <w:sz w:val="20"/>
          <w:szCs w:val="20"/>
        </w:rPr>
        <w:t>EXPO 2015 – zjištění profilu návštěvníků expozice CzechTourism, její atraktivita a</w:t>
      </w:r>
      <w:r>
        <w:rPr>
          <w:rFonts w:ascii="Arial" w:hAnsi="Arial" w:cs="Arial"/>
          <w:sz w:val="20"/>
          <w:szCs w:val="20"/>
        </w:rPr>
        <w:t> </w:t>
      </w:r>
      <w:r w:rsidRPr="00AA1F11">
        <w:rPr>
          <w:rFonts w:ascii="Arial" w:hAnsi="Arial" w:cs="Arial"/>
          <w:sz w:val="20"/>
          <w:szCs w:val="20"/>
        </w:rPr>
        <w:t xml:space="preserve">spokojenost s návštěvou, k dispozici </w:t>
      </w:r>
      <w:proofErr w:type="spellStart"/>
      <w:r w:rsidRPr="00AA1F11">
        <w:rPr>
          <w:rFonts w:ascii="Arial" w:hAnsi="Arial" w:cs="Arial"/>
          <w:sz w:val="20"/>
          <w:szCs w:val="20"/>
        </w:rPr>
        <w:t>prefinální</w:t>
      </w:r>
      <w:proofErr w:type="spellEnd"/>
      <w:r w:rsidRPr="00AA1F11">
        <w:rPr>
          <w:rFonts w:ascii="Arial" w:hAnsi="Arial" w:cs="Arial"/>
          <w:sz w:val="20"/>
          <w:szCs w:val="20"/>
        </w:rPr>
        <w:t xml:space="preserve"> zpráva</w:t>
      </w:r>
    </w:p>
    <w:p w:rsidR="00AA1F11" w:rsidRPr="00CB5777" w:rsidRDefault="00CB5777" w:rsidP="00CB5777">
      <w:pPr>
        <w:pStyle w:val="Odstavecseseznamem"/>
        <w:numPr>
          <w:ilvl w:val="0"/>
          <w:numId w:val="31"/>
        </w:numPr>
        <w:rPr>
          <w:rFonts w:ascii="Arial" w:hAnsi="Arial" w:cs="Arial"/>
          <w:sz w:val="20"/>
          <w:szCs w:val="20"/>
        </w:rPr>
      </w:pPr>
      <w:r w:rsidRPr="00CB5777">
        <w:rPr>
          <w:rFonts w:ascii="Arial" w:hAnsi="Arial" w:cs="Arial"/>
          <w:sz w:val="20"/>
          <w:szCs w:val="20"/>
        </w:rPr>
        <w:t xml:space="preserve">Plán výzkumných aktivit realizovaných agenturou </w:t>
      </w:r>
      <w:r>
        <w:rPr>
          <w:rFonts w:ascii="Arial" w:hAnsi="Arial" w:cs="Arial"/>
          <w:sz w:val="20"/>
          <w:szCs w:val="20"/>
        </w:rPr>
        <w:t>CzechTo</w:t>
      </w:r>
      <w:r w:rsidRPr="00CB5777">
        <w:rPr>
          <w:rFonts w:ascii="Arial" w:hAnsi="Arial" w:cs="Arial"/>
          <w:sz w:val="20"/>
          <w:szCs w:val="20"/>
        </w:rPr>
        <w:t>urism pro rok 2016</w:t>
      </w:r>
    </w:p>
    <w:p w:rsidR="00CB5777" w:rsidRPr="00CB5777" w:rsidRDefault="00CB5777" w:rsidP="00CB5777">
      <w:pPr>
        <w:spacing w:before="0" w:after="120" w:line="240" w:lineRule="auto"/>
        <w:ind w:left="360"/>
        <w:rPr>
          <w:rFonts w:ascii="Arial" w:hAnsi="Arial" w:cs="Arial"/>
          <w:b/>
          <w:sz w:val="20"/>
          <w:szCs w:val="20"/>
        </w:rPr>
      </w:pPr>
      <w:r w:rsidRPr="00CB5777">
        <w:rPr>
          <w:rFonts w:ascii="Arial" w:hAnsi="Arial" w:cs="Arial"/>
          <w:b/>
          <w:sz w:val="20"/>
          <w:szCs w:val="20"/>
        </w:rPr>
        <w:t>Plán výzkumů 2016</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Příjezdový cestovní ruch 2016</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proofErr w:type="spellStart"/>
      <w:r w:rsidRPr="00CB5777">
        <w:rPr>
          <w:rFonts w:ascii="Arial" w:hAnsi="Arial" w:cs="Arial"/>
          <w:sz w:val="20"/>
          <w:szCs w:val="20"/>
        </w:rPr>
        <w:t>Mystery</w:t>
      </w:r>
      <w:proofErr w:type="spellEnd"/>
      <w:r w:rsidRPr="00CB5777">
        <w:rPr>
          <w:rFonts w:ascii="Arial" w:hAnsi="Arial" w:cs="Arial"/>
          <w:sz w:val="20"/>
          <w:szCs w:val="20"/>
        </w:rPr>
        <w:t xml:space="preserve"> </w:t>
      </w:r>
      <w:proofErr w:type="spellStart"/>
      <w:r w:rsidRPr="00CB5777">
        <w:rPr>
          <w:rFonts w:ascii="Arial" w:hAnsi="Arial" w:cs="Arial"/>
          <w:sz w:val="20"/>
          <w:szCs w:val="20"/>
        </w:rPr>
        <w:t>shopping</w:t>
      </w:r>
      <w:proofErr w:type="spellEnd"/>
      <w:r w:rsidRPr="00CB5777">
        <w:rPr>
          <w:rFonts w:ascii="Arial" w:hAnsi="Arial" w:cs="Arial"/>
          <w:sz w:val="20"/>
          <w:szCs w:val="20"/>
        </w:rPr>
        <w:t xml:space="preserve"> všech certifikovaných TIC</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Efektivita PR aktivit ZZ</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Měření aktivit na sociálních sítích</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Reporting webů agentury CzechTourism</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Testování hlavní kampaně na incoming a DCR (</w:t>
      </w:r>
      <w:proofErr w:type="spellStart"/>
      <w:r w:rsidRPr="00CB5777">
        <w:rPr>
          <w:rFonts w:ascii="Arial" w:hAnsi="Arial" w:cs="Arial"/>
          <w:sz w:val="20"/>
          <w:szCs w:val="20"/>
        </w:rPr>
        <w:t>pre</w:t>
      </w:r>
      <w:proofErr w:type="spellEnd"/>
      <w:r w:rsidRPr="00CB5777">
        <w:rPr>
          <w:rFonts w:ascii="Arial" w:hAnsi="Arial" w:cs="Arial"/>
          <w:sz w:val="20"/>
          <w:szCs w:val="20"/>
        </w:rPr>
        <w:t xml:space="preserve"> a post testy)</w:t>
      </w:r>
    </w:p>
    <w:p w:rsidR="00CB5777" w:rsidRPr="00CB5777" w:rsidRDefault="00CB5777" w:rsidP="00CB5777">
      <w:pPr>
        <w:pStyle w:val="Odstavecseseznamem"/>
        <w:numPr>
          <w:ilvl w:val="0"/>
          <w:numId w:val="30"/>
        </w:numPr>
        <w:spacing w:before="0" w:line="240" w:lineRule="auto"/>
        <w:ind w:left="1080"/>
        <w:contextualSpacing w:val="0"/>
        <w:jc w:val="left"/>
        <w:rPr>
          <w:rFonts w:ascii="Arial" w:hAnsi="Arial" w:cs="Arial"/>
          <w:sz w:val="20"/>
          <w:szCs w:val="20"/>
        </w:rPr>
      </w:pPr>
      <w:r w:rsidRPr="00CB5777">
        <w:rPr>
          <w:rFonts w:ascii="Arial" w:hAnsi="Arial" w:cs="Arial"/>
          <w:sz w:val="20"/>
          <w:szCs w:val="20"/>
        </w:rPr>
        <w:t>Ad hoc výzkumy dle potřeb ostatních oddělení</w:t>
      </w:r>
    </w:p>
    <w:p w:rsidR="002B3C7C" w:rsidRPr="00041ACB" w:rsidRDefault="002B3C7C" w:rsidP="00ED2E19">
      <w:pPr>
        <w:pStyle w:val="Nadpis2"/>
        <w:shd w:val="clear" w:color="auto" w:fill="92D050"/>
      </w:pPr>
      <w:bookmarkStart w:id="12" w:name="_Toc434585086"/>
      <w:r w:rsidRPr="00041ACB">
        <w:t>Problematika místních poplatků</w:t>
      </w:r>
      <w:bookmarkEnd w:id="12"/>
    </w:p>
    <w:p w:rsidR="006B0F1A" w:rsidRPr="00041ACB" w:rsidRDefault="006B0F1A" w:rsidP="00041ACB">
      <w:pPr>
        <w:spacing w:before="0" w:after="120" w:line="240" w:lineRule="auto"/>
        <w:rPr>
          <w:rFonts w:ascii="Arial" w:hAnsi="Arial" w:cs="Arial"/>
          <w:sz w:val="20"/>
          <w:szCs w:val="20"/>
        </w:rPr>
      </w:pPr>
      <w:r w:rsidRPr="00041ACB">
        <w:rPr>
          <w:rFonts w:ascii="Arial" w:hAnsi="Arial" w:cs="Arial"/>
          <w:sz w:val="20"/>
          <w:szCs w:val="20"/>
        </w:rPr>
        <w:t>Problematika místních poplatků z cestovního ruchu je upravena zákonem č. 565/1990 Sb., o místních poplatcích, který je kompetenci MF. V současné době v rámci cestovního ruchu je možné vybírat dva poplatky:</w:t>
      </w:r>
    </w:p>
    <w:p w:rsidR="006B0F1A" w:rsidRPr="00041ACB" w:rsidRDefault="006B0F1A" w:rsidP="0070390A">
      <w:pPr>
        <w:pStyle w:val="Odstavecseseznamem"/>
        <w:numPr>
          <w:ilvl w:val="0"/>
          <w:numId w:val="21"/>
        </w:numPr>
        <w:spacing w:before="0" w:line="240" w:lineRule="auto"/>
        <w:contextualSpacing w:val="0"/>
        <w:rPr>
          <w:rFonts w:ascii="Arial" w:hAnsi="Arial" w:cs="Arial"/>
          <w:sz w:val="20"/>
          <w:szCs w:val="20"/>
        </w:rPr>
      </w:pPr>
      <w:r w:rsidRPr="00041ACB">
        <w:rPr>
          <w:rFonts w:ascii="Arial" w:hAnsi="Arial" w:cs="Arial"/>
          <w:sz w:val="20"/>
          <w:szCs w:val="20"/>
        </w:rPr>
        <w:t>poplatek z ubytovací kapacity, který platí ubytovatel a jeho maximální výše je 6 Kč za každé využité lůžko a den</w:t>
      </w:r>
    </w:p>
    <w:p w:rsidR="006B0F1A" w:rsidRPr="00041ACB" w:rsidRDefault="006B0F1A" w:rsidP="0070390A">
      <w:pPr>
        <w:pStyle w:val="Odstavecseseznamem"/>
        <w:numPr>
          <w:ilvl w:val="0"/>
          <w:numId w:val="21"/>
        </w:numPr>
        <w:spacing w:before="0" w:line="240" w:lineRule="auto"/>
        <w:contextualSpacing w:val="0"/>
        <w:rPr>
          <w:rFonts w:ascii="Arial" w:hAnsi="Arial" w:cs="Arial"/>
          <w:sz w:val="20"/>
          <w:szCs w:val="20"/>
        </w:rPr>
      </w:pPr>
      <w:r w:rsidRPr="00041ACB">
        <w:rPr>
          <w:rFonts w:ascii="Arial" w:hAnsi="Arial" w:cs="Arial"/>
          <w:sz w:val="20"/>
          <w:szCs w:val="20"/>
        </w:rPr>
        <w:t>poplatek za lázeňský nebo rekreační pobyt lze vybírat v lázeňských místech a v místech soustředěného cestovního ruchu, pro obec jej vybírá od hostů ubytovatel a jeho maximální sazba je 15 Kč za osobu a den.</w:t>
      </w:r>
    </w:p>
    <w:p w:rsidR="006B0F1A" w:rsidRPr="00041ACB" w:rsidRDefault="006B0F1A" w:rsidP="00041ACB">
      <w:pPr>
        <w:spacing w:before="0" w:after="120" w:line="240" w:lineRule="auto"/>
        <w:rPr>
          <w:rFonts w:ascii="Arial" w:hAnsi="Arial" w:cs="Arial"/>
          <w:sz w:val="20"/>
          <w:szCs w:val="20"/>
        </w:rPr>
      </w:pPr>
      <w:r w:rsidRPr="00041ACB">
        <w:rPr>
          <w:rFonts w:ascii="Arial" w:hAnsi="Arial" w:cs="Arial"/>
          <w:sz w:val="20"/>
          <w:szCs w:val="20"/>
        </w:rPr>
        <w:t>Z celkového počtu 6 242 obcí v České republice vybíralo v roce 2013 místní poplatek z ubytovací kapacity 1 442 obcí (23,1 %) a místní poplatek za lázeňský nebo rekreační pobyt 907 obcí (14,5 %).</w:t>
      </w:r>
    </w:p>
    <w:tbl>
      <w:tblPr>
        <w:tblStyle w:val="Mkatabulky"/>
        <w:tblW w:w="0" w:type="auto"/>
        <w:tblInd w:w="577" w:type="dxa"/>
        <w:tblLook w:val="04A0"/>
      </w:tblPr>
      <w:tblGrid>
        <w:gridCol w:w="3227"/>
        <w:gridCol w:w="1984"/>
      </w:tblGrid>
      <w:tr w:rsidR="00041ACB" w:rsidRPr="00041ACB" w:rsidTr="00041ACB">
        <w:tc>
          <w:tcPr>
            <w:tcW w:w="3227" w:type="dxa"/>
            <w:shd w:val="clear" w:color="auto" w:fill="92D050"/>
          </w:tcPr>
          <w:p w:rsidR="00041ACB" w:rsidRPr="00AA1F11" w:rsidRDefault="00041ACB" w:rsidP="00CB5777">
            <w:pPr>
              <w:keepNext/>
              <w:keepLines/>
              <w:spacing w:before="0" w:after="120" w:line="240" w:lineRule="auto"/>
              <w:jc w:val="center"/>
              <w:rPr>
                <w:rFonts w:ascii="Arial" w:hAnsi="Arial" w:cs="Arial"/>
                <w:b/>
                <w:sz w:val="20"/>
                <w:szCs w:val="20"/>
              </w:rPr>
            </w:pPr>
            <w:r w:rsidRPr="00AA1F11">
              <w:rPr>
                <w:rFonts w:ascii="Arial" w:hAnsi="Arial" w:cs="Arial"/>
                <w:b/>
                <w:sz w:val="20"/>
                <w:szCs w:val="20"/>
              </w:rPr>
              <w:lastRenderedPageBreak/>
              <w:t>2013</w:t>
            </w:r>
          </w:p>
        </w:tc>
        <w:tc>
          <w:tcPr>
            <w:tcW w:w="1984" w:type="dxa"/>
            <w:shd w:val="clear" w:color="auto" w:fill="92D050"/>
          </w:tcPr>
          <w:p w:rsidR="00041ACB" w:rsidRPr="00041ACB" w:rsidRDefault="00041ACB" w:rsidP="00041ACB">
            <w:pPr>
              <w:spacing w:before="0" w:after="120" w:line="240" w:lineRule="auto"/>
              <w:rPr>
                <w:rFonts w:ascii="Arial" w:hAnsi="Arial" w:cs="Arial"/>
                <w:sz w:val="20"/>
                <w:szCs w:val="20"/>
              </w:rPr>
            </w:pPr>
          </w:p>
        </w:tc>
      </w:tr>
      <w:tr w:rsidR="00041ACB" w:rsidRPr="00041ACB" w:rsidTr="00041ACB">
        <w:tc>
          <w:tcPr>
            <w:tcW w:w="3227" w:type="dxa"/>
          </w:tcPr>
          <w:p w:rsidR="00041ACB" w:rsidRPr="00041ACB" w:rsidRDefault="00041ACB" w:rsidP="00CB5777">
            <w:pPr>
              <w:keepNext/>
              <w:keepLines/>
              <w:spacing w:before="0" w:after="120" w:line="240" w:lineRule="auto"/>
              <w:rPr>
                <w:rFonts w:ascii="Arial" w:hAnsi="Arial" w:cs="Arial"/>
                <w:sz w:val="20"/>
                <w:szCs w:val="20"/>
              </w:rPr>
            </w:pPr>
            <w:r w:rsidRPr="00041ACB">
              <w:rPr>
                <w:rFonts w:ascii="Arial" w:hAnsi="Arial" w:cs="Arial"/>
                <w:sz w:val="20"/>
                <w:szCs w:val="20"/>
              </w:rPr>
              <w:t>Poplatek z ubytovací kapacity</w:t>
            </w:r>
          </w:p>
        </w:tc>
        <w:tc>
          <w:tcPr>
            <w:tcW w:w="1984" w:type="dxa"/>
          </w:tcPr>
          <w:p w:rsidR="00041ACB" w:rsidRPr="00041ACB" w:rsidRDefault="00041ACB" w:rsidP="00041ACB">
            <w:pPr>
              <w:spacing w:before="0" w:after="120" w:line="240" w:lineRule="auto"/>
              <w:jc w:val="right"/>
              <w:rPr>
                <w:rFonts w:ascii="Arial" w:hAnsi="Arial" w:cs="Arial"/>
                <w:sz w:val="20"/>
                <w:szCs w:val="20"/>
              </w:rPr>
            </w:pPr>
            <w:r w:rsidRPr="00041ACB">
              <w:rPr>
                <w:rFonts w:ascii="Arial" w:hAnsi="Arial" w:cs="Arial"/>
                <w:sz w:val="20"/>
                <w:szCs w:val="20"/>
              </w:rPr>
              <w:t>213</w:t>
            </w:r>
            <w:r>
              <w:rPr>
                <w:rFonts w:ascii="Arial" w:hAnsi="Arial" w:cs="Arial"/>
                <w:sz w:val="20"/>
                <w:szCs w:val="20"/>
              </w:rPr>
              <w:t>,0</w:t>
            </w:r>
            <w:r w:rsidRPr="00041ACB">
              <w:rPr>
                <w:rFonts w:ascii="Arial" w:hAnsi="Arial" w:cs="Arial"/>
                <w:sz w:val="20"/>
                <w:szCs w:val="20"/>
              </w:rPr>
              <w:t xml:space="preserve"> mil. Kč</w:t>
            </w:r>
          </w:p>
        </w:tc>
      </w:tr>
      <w:tr w:rsidR="00041ACB" w:rsidRPr="00041ACB" w:rsidTr="00041ACB">
        <w:tc>
          <w:tcPr>
            <w:tcW w:w="3227" w:type="dxa"/>
          </w:tcPr>
          <w:p w:rsidR="00041ACB" w:rsidRPr="00041ACB" w:rsidRDefault="00041ACB" w:rsidP="00041ACB">
            <w:pPr>
              <w:spacing w:before="0" w:after="120" w:line="240" w:lineRule="auto"/>
              <w:rPr>
                <w:rFonts w:ascii="Arial" w:hAnsi="Arial" w:cs="Arial"/>
                <w:sz w:val="20"/>
                <w:szCs w:val="20"/>
              </w:rPr>
            </w:pPr>
            <w:r w:rsidRPr="00041ACB">
              <w:rPr>
                <w:rFonts w:ascii="Arial" w:hAnsi="Arial" w:cs="Arial"/>
                <w:sz w:val="20"/>
                <w:szCs w:val="20"/>
              </w:rPr>
              <w:t>Lázeňský / rekreační poplatek</w:t>
            </w:r>
          </w:p>
        </w:tc>
        <w:tc>
          <w:tcPr>
            <w:tcW w:w="1984" w:type="dxa"/>
          </w:tcPr>
          <w:p w:rsidR="00041ACB" w:rsidRPr="00041ACB" w:rsidRDefault="00041ACB" w:rsidP="00041ACB">
            <w:pPr>
              <w:spacing w:before="0" w:after="120" w:line="240" w:lineRule="auto"/>
              <w:jc w:val="right"/>
              <w:rPr>
                <w:rFonts w:ascii="Arial" w:hAnsi="Arial" w:cs="Arial"/>
                <w:sz w:val="20"/>
                <w:szCs w:val="20"/>
              </w:rPr>
            </w:pPr>
            <w:r w:rsidRPr="00041ACB">
              <w:rPr>
                <w:rFonts w:ascii="Arial" w:hAnsi="Arial" w:cs="Arial"/>
                <w:sz w:val="20"/>
                <w:szCs w:val="20"/>
              </w:rPr>
              <w:t>300,6 mil. Kč</w:t>
            </w:r>
          </w:p>
        </w:tc>
      </w:tr>
    </w:tbl>
    <w:p w:rsidR="006B0F1A" w:rsidRPr="00041ACB" w:rsidRDefault="006B0F1A" w:rsidP="00041ACB">
      <w:pPr>
        <w:spacing w:after="120" w:line="240" w:lineRule="auto"/>
        <w:rPr>
          <w:rFonts w:ascii="Arial" w:hAnsi="Arial" w:cs="Arial"/>
          <w:sz w:val="20"/>
          <w:szCs w:val="20"/>
        </w:rPr>
      </w:pPr>
      <w:r w:rsidRPr="00041ACB">
        <w:rPr>
          <w:rFonts w:ascii="Arial" w:hAnsi="Arial" w:cs="Arial"/>
          <w:sz w:val="20"/>
          <w:szCs w:val="20"/>
        </w:rPr>
        <w:t>Dle stávající legislativy je rozhodnutí o výběru místních poplatků, stanovení výši sazby, výběru poplatků i jejich následné využití v samosprávné působnosti obcí.</w:t>
      </w:r>
    </w:p>
    <w:p w:rsidR="006B0F1A" w:rsidRPr="00041ACB" w:rsidRDefault="006B0F1A" w:rsidP="00041ACB">
      <w:pPr>
        <w:spacing w:before="0" w:after="120" w:line="240" w:lineRule="auto"/>
        <w:rPr>
          <w:rFonts w:ascii="Arial" w:hAnsi="Arial" w:cs="Arial"/>
          <w:sz w:val="20"/>
          <w:szCs w:val="20"/>
        </w:rPr>
      </w:pPr>
      <w:r w:rsidRPr="00041ACB">
        <w:rPr>
          <w:rFonts w:ascii="Arial" w:hAnsi="Arial" w:cs="Arial"/>
          <w:sz w:val="20"/>
          <w:szCs w:val="20"/>
        </w:rPr>
        <w:t>MMR vnímá poplatky z cestovního ruchu jako nástroj pro generování interních zdrojů (které nezatěžují veřejné rozpočty) pro financování regionálního rozvoje a cestovního ruchu. Ministerstvo na základě výše uvedeného zjištění chce iniciovat jednání ohledně úpravy zákona o místních poplatcích. Cílem je</w:t>
      </w:r>
      <w:r w:rsidR="00041ACB">
        <w:rPr>
          <w:rFonts w:ascii="Arial" w:hAnsi="Arial" w:cs="Arial"/>
          <w:sz w:val="20"/>
          <w:szCs w:val="20"/>
        </w:rPr>
        <w:t> </w:t>
      </w:r>
      <w:r w:rsidRPr="00041ACB">
        <w:rPr>
          <w:rFonts w:ascii="Arial" w:hAnsi="Arial" w:cs="Arial"/>
          <w:sz w:val="20"/>
          <w:szCs w:val="20"/>
        </w:rPr>
        <w:t>zefektivnit výběr místních poplatků z cestovního ruchu (jak s ohledem na jeho výši i způsob výběru) i podpořit návratnost vybraných prostředků na rozvoj cestovního ruchu.</w:t>
      </w:r>
    </w:p>
    <w:p w:rsidR="006B0F1A" w:rsidRPr="00041ACB" w:rsidRDefault="00041ACB" w:rsidP="00041ACB">
      <w:pPr>
        <w:spacing w:before="0" w:after="120" w:line="240" w:lineRule="auto"/>
        <w:rPr>
          <w:rFonts w:ascii="Arial" w:hAnsi="Arial" w:cs="Arial"/>
          <w:sz w:val="20"/>
          <w:szCs w:val="20"/>
        </w:rPr>
      </w:pPr>
      <w:r w:rsidRPr="00041ACB">
        <w:rPr>
          <w:rFonts w:ascii="Arial" w:hAnsi="Arial" w:cs="Arial"/>
          <w:sz w:val="20"/>
          <w:szCs w:val="20"/>
        </w:rPr>
        <w:t xml:space="preserve">MMR spolupracuje s SOCR, AHR, AHS, SMO na vytvoření </w:t>
      </w:r>
      <w:proofErr w:type="spellStart"/>
      <w:r w:rsidRPr="00041ACB">
        <w:rPr>
          <w:rFonts w:ascii="Arial" w:hAnsi="Arial" w:cs="Arial"/>
          <w:sz w:val="20"/>
          <w:szCs w:val="20"/>
        </w:rPr>
        <w:t>koncenzuláního</w:t>
      </w:r>
      <w:proofErr w:type="spellEnd"/>
      <w:r w:rsidRPr="00041ACB">
        <w:rPr>
          <w:rFonts w:ascii="Arial" w:hAnsi="Arial" w:cs="Arial"/>
          <w:sz w:val="20"/>
          <w:szCs w:val="20"/>
        </w:rPr>
        <w:t xml:space="preserve"> návrhu úpravy zákona o</w:t>
      </w:r>
      <w:r>
        <w:rPr>
          <w:rFonts w:ascii="Arial" w:hAnsi="Arial" w:cs="Arial"/>
          <w:sz w:val="20"/>
          <w:szCs w:val="20"/>
        </w:rPr>
        <w:t> </w:t>
      </w:r>
      <w:r w:rsidRPr="00041ACB">
        <w:rPr>
          <w:rFonts w:ascii="Arial" w:hAnsi="Arial" w:cs="Arial"/>
          <w:sz w:val="20"/>
          <w:szCs w:val="20"/>
        </w:rPr>
        <w:t>místních poplatcích, který bude následně projednáván s MF, gestorem zákona o místních poplatcích i M</w:t>
      </w:r>
      <w:r>
        <w:rPr>
          <w:rFonts w:ascii="Arial" w:hAnsi="Arial" w:cs="Arial"/>
          <w:sz w:val="20"/>
          <w:szCs w:val="20"/>
        </w:rPr>
        <w:t>V</w:t>
      </w:r>
      <w:r w:rsidRPr="00041ACB">
        <w:rPr>
          <w:rFonts w:ascii="Arial" w:hAnsi="Arial" w:cs="Arial"/>
          <w:sz w:val="20"/>
          <w:szCs w:val="20"/>
        </w:rPr>
        <w:t>, problematika samostatné působnosti samosprávních celků.</w:t>
      </w:r>
    </w:p>
    <w:p w:rsidR="002B3C7C" w:rsidRDefault="006B0F1A" w:rsidP="00CB5777">
      <w:pPr>
        <w:pStyle w:val="Nadpis2"/>
        <w:shd w:val="clear" w:color="auto" w:fill="92D050"/>
      </w:pPr>
      <w:bookmarkStart w:id="13" w:name="_Toc434585087"/>
      <w:r>
        <w:t>Implementace marketingového plánu</w:t>
      </w:r>
      <w:bookmarkEnd w:id="13"/>
    </w:p>
    <w:p w:rsidR="00CB5777" w:rsidRPr="00CB5777" w:rsidRDefault="00CB5777" w:rsidP="00CB5777">
      <w:pPr>
        <w:spacing w:before="0" w:after="120" w:line="240" w:lineRule="auto"/>
        <w:rPr>
          <w:rFonts w:ascii="Arial" w:hAnsi="Arial" w:cs="Arial"/>
          <w:b/>
          <w:sz w:val="20"/>
          <w:szCs w:val="20"/>
        </w:rPr>
      </w:pPr>
      <w:r w:rsidRPr="00CB5777">
        <w:rPr>
          <w:rFonts w:ascii="Arial" w:hAnsi="Arial" w:cs="Arial"/>
          <w:b/>
          <w:sz w:val="20"/>
          <w:szCs w:val="20"/>
        </w:rPr>
        <w:t>Mezi dlouhodobé aktivity marketingového plánování pak patří důraz na:</w:t>
      </w:r>
    </w:p>
    <w:p w:rsidR="00CB5777" w:rsidRPr="00CB5777" w:rsidRDefault="00CB5777" w:rsidP="00CB5777">
      <w:pPr>
        <w:pStyle w:val="Odstavecseseznamem"/>
        <w:numPr>
          <w:ilvl w:val="0"/>
          <w:numId w:val="32"/>
        </w:numPr>
        <w:spacing w:before="0" w:line="240" w:lineRule="auto"/>
        <w:contextualSpacing w:val="0"/>
        <w:rPr>
          <w:rFonts w:ascii="Arial" w:hAnsi="Arial" w:cs="Arial"/>
          <w:sz w:val="20"/>
          <w:szCs w:val="20"/>
        </w:rPr>
      </w:pPr>
      <w:r w:rsidRPr="00CB5777">
        <w:rPr>
          <w:rFonts w:ascii="Arial" w:hAnsi="Arial" w:cs="Arial"/>
          <w:sz w:val="20"/>
          <w:szCs w:val="20"/>
        </w:rPr>
        <w:t>Co-</w:t>
      </w:r>
      <w:proofErr w:type="spellStart"/>
      <w:r w:rsidRPr="00CB5777">
        <w:rPr>
          <w:rFonts w:ascii="Arial" w:hAnsi="Arial" w:cs="Arial"/>
          <w:sz w:val="20"/>
          <w:szCs w:val="20"/>
        </w:rPr>
        <w:t>branding</w:t>
      </w:r>
      <w:proofErr w:type="spellEnd"/>
      <w:r w:rsidRPr="00CB5777">
        <w:rPr>
          <w:rFonts w:ascii="Arial" w:hAnsi="Arial" w:cs="Arial"/>
          <w:sz w:val="20"/>
          <w:szCs w:val="20"/>
        </w:rPr>
        <w:t xml:space="preserve"> – nabídka vizuálních výstupů ostatním partnerům, sdílení obsahů</w:t>
      </w:r>
    </w:p>
    <w:p w:rsidR="00CB5777" w:rsidRPr="00CB5777" w:rsidRDefault="00CB5777" w:rsidP="00CB5777">
      <w:pPr>
        <w:pStyle w:val="Odstavecseseznamem"/>
        <w:numPr>
          <w:ilvl w:val="0"/>
          <w:numId w:val="32"/>
        </w:numPr>
        <w:spacing w:before="0" w:line="240" w:lineRule="auto"/>
        <w:contextualSpacing w:val="0"/>
        <w:rPr>
          <w:rFonts w:ascii="Arial" w:hAnsi="Arial" w:cs="Arial"/>
          <w:sz w:val="20"/>
          <w:szCs w:val="20"/>
        </w:rPr>
      </w:pPr>
      <w:r w:rsidRPr="00CB5777">
        <w:rPr>
          <w:rFonts w:ascii="Arial" w:hAnsi="Arial" w:cs="Arial"/>
          <w:sz w:val="20"/>
          <w:szCs w:val="20"/>
        </w:rPr>
        <w:t>PR – využití úspěšných eventů, destinační PR – filmový turismus apod.</w:t>
      </w:r>
    </w:p>
    <w:p w:rsidR="00CB5777" w:rsidRPr="00CB5777" w:rsidRDefault="00CB5777" w:rsidP="00CB5777">
      <w:pPr>
        <w:pStyle w:val="Odstavecseseznamem"/>
        <w:numPr>
          <w:ilvl w:val="0"/>
          <w:numId w:val="32"/>
        </w:numPr>
        <w:spacing w:before="0" w:line="240" w:lineRule="auto"/>
        <w:contextualSpacing w:val="0"/>
        <w:rPr>
          <w:rFonts w:ascii="Arial" w:hAnsi="Arial" w:cs="Arial"/>
          <w:sz w:val="20"/>
          <w:szCs w:val="20"/>
        </w:rPr>
      </w:pPr>
      <w:r w:rsidRPr="00CB5777">
        <w:rPr>
          <w:rFonts w:ascii="Arial" w:hAnsi="Arial" w:cs="Arial"/>
          <w:sz w:val="20"/>
          <w:szCs w:val="20"/>
        </w:rPr>
        <w:t xml:space="preserve">Důraz na </w:t>
      </w:r>
      <w:proofErr w:type="spellStart"/>
      <w:r w:rsidRPr="00CB5777">
        <w:rPr>
          <w:rFonts w:ascii="Arial" w:hAnsi="Arial" w:cs="Arial"/>
          <w:sz w:val="20"/>
          <w:szCs w:val="20"/>
        </w:rPr>
        <w:t>own</w:t>
      </w:r>
      <w:proofErr w:type="spellEnd"/>
      <w:r w:rsidRPr="00CB5777">
        <w:rPr>
          <w:rFonts w:ascii="Arial" w:hAnsi="Arial" w:cs="Arial"/>
          <w:sz w:val="20"/>
          <w:szCs w:val="20"/>
        </w:rPr>
        <w:t xml:space="preserve"> media – tedy rozvoj vlastních webů, komunikace v sociálních médiích</w:t>
      </w:r>
    </w:p>
    <w:p w:rsidR="00CB5777" w:rsidRPr="00CB5777" w:rsidRDefault="00CB5777" w:rsidP="00CB5777">
      <w:pPr>
        <w:pStyle w:val="Odstavecseseznamem"/>
        <w:numPr>
          <w:ilvl w:val="0"/>
          <w:numId w:val="32"/>
        </w:numPr>
        <w:spacing w:before="0" w:line="240" w:lineRule="auto"/>
        <w:contextualSpacing w:val="0"/>
        <w:rPr>
          <w:rFonts w:ascii="Arial" w:hAnsi="Arial" w:cs="Arial"/>
          <w:sz w:val="20"/>
          <w:szCs w:val="20"/>
        </w:rPr>
      </w:pPr>
      <w:r w:rsidRPr="00CB5777">
        <w:rPr>
          <w:rFonts w:ascii="Arial" w:hAnsi="Arial" w:cs="Arial"/>
          <w:sz w:val="20"/>
          <w:szCs w:val="20"/>
        </w:rPr>
        <w:t>Partnerský marketing – intenzivnější spolupráce s regiony, profesními asociacemi aj., iniciace společných projektů</w:t>
      </w:r>
    </w:p>
    <w:p w:rsidR="00CB5777" w:rsidRPr="00CB5777" w:rsidRDefault="00CB5777" w:rsidP="00CB5777">
      <w:pPr>
        <w:pStyle w:val="Odstavecseseznamem"/>
        <w:numPr>
          <w:ilvl w:val="0"/>
          <w:numId w:val="32"/>
        </w:numPr>
        <w:spacing w:before="0" w:line="240" w:lineRule="auto"/>
        <w:contextualSpacing w:val="0"/>
        <w:rPr>
          <w:rFonts w:ascii="Arial" w:hAnsi="Arial" w:cs="Arial"/>
          <w:sz w:val="20"/>
          <w:szCs w:val="20"/>
        </w:rPr>
      </w:pPr>
      <w:r w:rsidRPr="00CB5777">
        <w:rPr>
          <w:rFonts w:ascii="Arial" w:hAnsi="Arial" w:cs="Arial"/>
          <w:sz w:val="20"/>
          <w:szCs w:val="20"/>
        </w:rPr>
        <w:t> B2B – pro zahraniční pobočky využití kooperace v rámci V4, ETC</w:t>
      </w:r>
    </w:p>
    <w:p w:rsidR="00CB5777" w:rsidRPr="00CB5777" w:rsidRDefault="00CB5777" w:rsidP="00CB5777">
      <w:pPr>
        <w:rPr>
          <w:rFonts w:ascii="Arial" w:hAnsi="Arial" w:cs="Arial"/>
          <w:b/>
          <w:sz w:val="20"/>
          <w:szCs w:val="20"/>
        </w:rPr>
      </w:pPr>
      <w:r w:rsidRPr="00CB5777">
        <w:rPr>
          <w:rFonts w:ascii="Arial" w:hAnsi="Arial" w:cs="Arial"/>
          <w:b/>
          <w:sz w:val="20"/>
          <w:szCs w:val="20"/>
        </w:rPr>
        <w:t>Aktivity realizované v roce 2015</w:t>
      </w:r>
    </w:p>
    <w:p w:rsidR="00CB5777" w:rsidRPr="00CB5777" w:rsidRDefault="00CB5777" w:rsidP="00CB5777">
      <w:pPr>
        <w:rPr>
          <w:rFonts w:ascii="Arial" w:hAnsi="Arial" w:cs="Arial"/>
          <w:sz w:val="20"/>
          <w:szCs w:val="20"/>
        </w:rPr>
      </w:pPr>
      <w:r w:rsidRPr="00CB5777">
        <w:rPr>
          <w:rFonts w:ascii="Arial" w:hAnsi="Arial" w:cs="Arial"/>
          <w:sz w:val="20"/>
          <w:szCs w:val="20"/>
        </w:rPr>
        <w:t>Zrealizováno bylo 5 marketingových kampaní realizovaných v rámci IOP projektů. Komunikace byla zaměřena především na evropské/sousední státy a Česko. Konkrétně šlo o kampaně:</w:t>
      </w:r>
    </w:p>
    <w:p w:rsidR="00CB5777" w:rsidRPr="00CB5777" w:rsidRDefault="00CB5777" w:rsidP="00CB5777">
      <w:pPr>
        <w:rPr>
          <w:rFonts w:ascii="Arial" w:hAnsi="Arial" w:cs="Arial"/>
          <w:sz w:val="20"/>
          <w:szCs w:val="20"/>
        </w:rPr>
      </w:pPr>
      <w:r w:rsidRPr="00CB5777">
        <w:rPr>
          <w:rFonts w:ascii="Arial" w:hAnsi="Arial" w:cs="Arial"/>
          <w:sz w:val="20"/>
          <w:szCs w:val="20"/>
        </w:rPr>
        <w:t>Česko: naše destinace. Kampaň je zaměřená na domácí trh, realizováno ve spolupráci s Asociací horských středisek, kampaň je stále v realizaci (konec 12/2015).</w:t>
      </w:r>
    </w:p>
    <w:p w:rsidR="00CB5777" w:rsidRPr="00CB5777" w:rsidRDefault="00CB5777" w:rsidP="00CB5777">
      <w:pPr>
        <w:rPr>
          <w:rFonts w:ascii="Arial" w:hAnsi="Arial" w:cs="Arial"/>
          <w:sz w:val="20"/>
          <w:szCs w:val="20"/>
        </w:rPr>
      </w:pPr>
      <w:r w:rsidRPr="00CB5777">
        <w:rPr>
          <w:rFonts w:ascii="Arial" w:hAnsi="Arial" w:cs="Arial"/>
          <w:sz w:val="20"/>
          <w:szCs w:val="20"/>
        </w:rPr>
        <w:t xml:space="preserve">Produktová kampaň COOL Česko. Kampaň zaměřená na zdrojové trhy se silnou studentskou populací (VB, Německo, Polsko), zasaženo bylo přes 10 milionů uživatelů, na web přivedeno téměř 250 tisíc návštěvníků, na studentských </w:t>
      </w:r>
      <w:proofErr w:type="spellStart"/>
      <w:r w:rsidRPr="00CB5777">
        <w:rPr>
          <w:rFonts w:ascii="Arial" w:hAnsi="Arial" w:cs="Arial"/>
          <w:sz w:val="20"/>
          <w:szCs w:val="20"/>
        </w:rPr>
        <w:t>eventech</w:t>
      </w:r>
      <w:proofErr w:type="spellEnd"/>
      <w:r w:rsidRPr="00CB5777">
        <w:rPr>
          <w:rFonts w:ascii="Arial" w:hAnsi="Arial" w:cs="Arial"/>
          <w:sz w:val="20"/>
          <w:szCs w:val="20"/>
        </w:rPr>
        <w:t xml:space="preserve"> bylo přímo osloveno přes 100 tisíc návštěvníků.</w:t>
      </w:r>
    </w:p>
    <w:p w:rsidR="00CB5777" w:rsidRPr="00CB5777" w:rsidRDefault="00CB5777" w:rsidP="00CB5777">
      <w:pPr>
        <w:rPr>
          <w:rFonts w:ascii="Arial" w:hAnsi="Arial" w:cs="Arial"/>
          <w:sz w:val="20"/>
          <w:szCs w:val="20"/>
        </w:rPr>
      </w:pPr>
      <w:r w:rsidRPr="00CB5777">
        <w:rPr>
          <w:rFonts w:ascii="Arial" w:hAnsi="Arial" w:cs="Arial"/>
          <w:sz w:val="20"/>
          <w:szCs w:val="20"/>
        </w:rPr>
        <w:t xml:space="preserve">Další produktové kampaně (Tradiční Česko, Filmové Česko) a </w:t>
      </w:r>
      <w:proofErr w:type="spellStart"/>
      <w:r w:rsidRPr="00CB5777">
        <w:rPr>
          <w:rFonts w:ascii="Arial" w:hAnsi="Arial" w:cs="Arial"/>
          <w:sz w:val="20"/>
          <w:szCs w:val="20"/>
        </w:rPr>
        <w:t>eventová</w:t>
      </w:r>
      <w:proofErr w:type="spellEnd"/>
      <w:r w:rsidRPr="00CB5777">
        <w:rPr>
          <w:rFonts w:ascii="Arial" w:hAnsi="Arial" w:cs="Arial"/>
          <w:sz w:val="20"/>
          <w:szCs w:val="20"/>
        </w:rPr>
        <w:t xml:space="preserve"> kampaň na EXPO 2015 jsou k 31/10/2015 ukončeny, aktuálně probíhá vyhodnocení aktivit a předání závěrečných zpráv projektů.</w:t>
      </w:r>
    </w:p>
    <w:p w:rsidR="00CB5777" w:rsidRPr="00CB5777" w:rsidRDefault="00CB5777" w:rsidP="00CB5777">
      <w:pPr>
        <w:spacing w:before="0" w:after="120" w:line="240" w:lineRule="auto"/>
        <w:rPr>
          <w:rFonts w:ascii="Arial" w:hAnsi="Arial" w:cs="Arial"/>
          <w:sz w:val="20"/>
          <w:szCs w:val="20"/>
        </w:rPr>
      </w:pPr>
      <w:r w:rsidRPr="00CB5777">
        <w:rPr>
          <w:rFonts w:ascii="Arial" w:hAnsi="Arial" w:cs="Arial"/>
          <w:sz w:val="20"/>
          <w:szCs w:val="20"/>
        </w:rPr>
        <w:t>Plán aktivit na rok 2016</w:t>
      </w:r>
    </w:p>
    <w:p w:rsidR="00CB5777" w:rsidRPr="00CB5777" w:rsidRDefault="00CB5777" w:rsidP="00CB5777">
      <w:pPr>
        <w:spacing w:before="0" w:after="120" w:line="240" w:lineRule="auto"/>
        <w:rPr>
          <w:rFonts w:ascii="Arial" w:hAnsi="Arial" w:cs="Arial"/>
          <w:sz w:val="20"/>
          <w:szCs w:val="20"/>
        </w:rPr>
      </w:pPr>
      <w:r w:rsidRPr="00CB5777">
        <w:rPr>
          <w:rFonts w:ascii="Arial" w:hAnsi="Arial" w:cs="Arial"/>
          <w:sz w:val="20"/>
          <w:szCs w:val="20"/>
        </w:rPr>
        <w:t xml:space="preserve">Klíčovým tématem marketingového plánu je komunikace </w:t>
      </w:r>
      <w:r w:rsidRPr="00CB5777">
        <w:rPr>
          <w:rFonts w:ascii="Arial" w:hAnsi="Arial" w:cs="Arial"/>
          <w:b/>
          <w:bCs/>
          <w:sz w:val="20"/>
          <w:szCs w:val="20"/>
        </w:rPr>
        <w:t>700. výročí narození českého krále a římského císaře Karla IV</w:t>
      </w:r>
      <w:r w:rsidRPr="00CB5777">
        <w:rPr>
          <w:rFonts w:ascii="Arial" w:hAnsi="Arial" w:cs="Arial"/>
          <w:sz w:val="20"/>
          <w:szCs w:val="20"/>
        </w:rPr>
        <w:t xml:space="preserve">. Po celý rok tak bude výročí připomínáno prostřednictvím kreativního konceptu </w:t>
      </w:r>
      <w:r w:rsidRPr="00CB5777">
        <w:rPr>
          <w:rFonts w:ascii="Arial" w:hAnsi="Arial" w:cs="Arial"/>
          <w:b/>
          <w:bCs/>
          <w:sz w:val="20"/>
          <w:szCs w:val="20"/>
        </w:rPr>
        <w:t>Královské zážitky na karlovských místech</w:t>
      </w:r>
      <w:r w:rsidRPr="00CB5777">
        <w:rPr>
          <w:rFonts w:ascii="Arial" w:hAnsi="Arial" w:cs="Arial"/>
          <w:sz w:val="20"/>
          <w:szCs w:val="20"/>
        </w:rPr>
        <w:t xml:space="preserve">. </w:t>
      </w:r>
    </w:p>
    <w:p w:rsidR="00CB5777" w:rsidRPr="00CB5777" w:rsidRDefault="00CB5777" w:rsidP="00CB5777">
      <w:pPr>
        <w:spacing w:before="0" w:after="120" w:line="240" w:lineRule="auto"/>
        <w:rPr>
          <w:rFonts w:ascii="Arial" w:hAnsi="Arial" w:cs="Arial"/>
          <w:b/>
          <w:sz w:val="20"/>
          <w:szCs w:val="20"/>
        </w:rPr>
      </w:pPr>
      <w:r w:rsidRPr="00CB5777">
        <w:rPr>
          <w:rFonts w:ascii="Arial" w:hAnsi="Arial" w:cs="Arial"/>
          <w:b/>
          <w:sz w:val="20"/>
          <w:szCs w:val="20"/>
        </w:rPr>
        <w:t>Mezi aktivity související s podporou výročí patří:</w:t>
      </w:r>
    </w:p>
    <w:p w:rsidR="00CB5777" w:rsidRPr="00CB5777" w:rsidRDefault="00CB5777" w:rsidP="00CB5777">
      <w:pPr>
        <w:pStyle w:val="Odstavecseseznamem"/>
        <w:numPr>
          <w:ilvl w:val="0"/>
          <w:numId w:val="35"/>
        </w:numPr>
        <w:spacing w:before="0" w:line="240" w:lineRule="auto"/>
        <w:contextualSpacing w:val="0"/>
        <w:rPr>
          <w:rFonts w:ascii="Arial" w:hAnsi="Arial" w:cs="Arial"/>
          <w:sz w:val="20"/>
          <w:szCs w:val="20"/>
        </w:rPr>
      </w:pPr>
      <w:r w:rsidRPr="00CB5777">
        <w:rPr>
          <w:rFonts w:ascii="Arial" w:hAnsi="Arial" w:cs="Arial"/>
          <w:sz w:val="20"/>
          <w:szCs w:val="20"/>
        </w:rPr>
        <w:t>společná komunikace s institucemi zapojenými do výročí – typu Národní památkový ústav, Národní galerie, Pražská informační služba atd.</w:t>
      </w:r>
    </w:p>
    <w:p w:rsidR="00CB5777" w:rsidRPr="00CB5777" w:rsidRDefault="00CB5777" w:rsidP="00CB5777">
      <w:pPr>
        <w:pStyle w:val="Odstavecseseznamem"/>
        <w:numPr>
          <w:ilvl w:val="0"/>
          <w:numId w:val="35"/>
        </w:numPr>
        <w:spacing w:before="0" w:line="240" w:lineRule="auto"/>
        <w:contextualSpacing w:val="0"/>
        <w:rPr>
          <w:rFonts w:ascii="Arial" w:hAnsi="Arial" w:cs="Arial"/>
          <w:sz w:val="20"/>
          <w:szCs w:val="20"/>
        </w:rPr>
      </w:pPr>
      <w:r w:rsidRPr="00CB5777">
        <w:rPr>
          <w:rFonts w:ascii="Arial" w:hAnsi="Arial" w:cs="Arial"/>
          <w:sz w:val="20"/>
          <w:szCs w:val="20"/>
        </w:rPr>
        <w:t>tvorba „turistického“ obsahu ve spolupráci s regiony – karlovské příběhy pro každý turistický region, itineráře, popisy karlovských míst</w:t>
      </w:r>
    </w:p>
    <w:p w:rsidR="00CB5777" w:rsidRPr="00CB5777" w:rsidRDefault="00CB5777" w:rsidP="00CB5777">
      <w:pPr>
        <w:pStyle w:val="Odstavecseseznamem"/>
        <w:numPr>
          <w:ilvl w:val="0"/>
          <w:numId w:val="35"/>
        </w:numPr>
        <w:spacing w:before="0" w:line="240" w:lineRule="auto"/>
        <w:contextualSpacing w:val="0"/>
        <w:rPr>
          <w:rFonts w:ascii="Arial" w:hAnsi="Arial" w:cs="Arial"/>
          <w:sz w:val="20"/>
          <w:szCs w:val="20"/>
        </w:rPr>
      </w:pPr>
      <w:r w:rsidRPr="00CB5777">
        <w:rPr>
          <w:rFonts w:ascii="Arial" w:hAnsi="Arial" w:cs="Arial"/>
          <w:sz w:val="20"/>
          <w:szCs w:val="20"/>
        </w:rPr>
        <w:t xml:space="preserve">komunikace produktu vůči B2B – prezentace na </w:t>
      </w:r>
      <w:proofErr w:type="spellStart"/>
      <w:r w:rsidRPr="00CB5777">
        <w:rPr>
          <w:rFonts w:ascii="Arial" w:hAnsi="Arial" w:cs="Arial"/>
          <w:sz w:val="20"/>
          <w:szCs w:val="20"/>
        </w:rPr>
        <w:t>Travel</w:t>
      </w:r>
      <w:proofErr w:type="spellEnd"/>
      <w:r w:rsidRPr="00CB5777">
        <w:rPr>
          <w:rFonts w:ascii="Arial" w:hAnsi="Arial" w:cs="Arial"/>
          <w:sz w:val="20"/>
          <w:szCs w:val="20"/>
        </w:rPr>
        <w:t xml:space="preserve"> Meeting Pointu, v rámci workshopů a seminářů zahraničních poboček aj.</w:t>
      </w:r>
    </w:p>
    <w:p w:rsidR="00CB5777" w:rsidRPr="00CB5777" w:rsidRDefault="00CB5777" w:rsidP="00CB5777">
      <w:pPr>
        <w:pStyle w:val="Odstavecseseznamem"/>
        <w:numPr>
          <w:ilvl w:val="0"/>
          <w:numId w:val="35"/>
        </w:numPr>
        <w:spacing w:before="0" w:line="240" w:lineRule="auto"/>
        <w:contextualSpacing w:val="0"/>
        <w:rPr>
          <w:rFonts w:ascii="Arial" w:hAnsi="Arial" w:cs="Arial"/>
          <w:sz w:val="20"/>
          <w:szCs w:val="20"/>
        </w:rPr>
      </w:pPr>
      <w:r w:rsidRPr="00CB5777">
        <w:rPr>
          <w:rFonts w:ascii="Arial" w:hAnsi="Arial" w:cs="Arial"/>
          <w:sz w:val="20"/>
          <w:szCs w:val="20"/>
        </w:rPr>
        <w:t>tvorba vizuální podoby komunikace – příprava inzerce, videí – poskytnutí těchto výstupů partnerům a veřejnosti</w:t>
      </w:r>
    </w:p>
    <w:p w:rsidR="00CB5777" w:rsidRPr="00CB5777" w:rsidRDefault="00CB5777" w:rsidP="00CB5777">
      <w:pPr>
        <w:pStyle w:val="Odstavecseseznamem"/>
        <w:numPr>
          <w:ilvl w:val="0"/>
          <w:numId w:val="35"/>
        </w:numPr>
        <w:spacing w:before="0" w:line="240" w:lineRule="auto"/>
        <w:contextualSpacing w:val="0"/>
        <w:rPr>
          <w:rFonts w:ascii="Arial" w:hAnsi="Arial" w:cs="Arial"/>
          <w:sz w:val="20"/>
          <w:szCs w:val="20"/>
        </w:rPr>
      </w:pPr>
      <w:r w:rsidRPr="00CB5777">
        <w:rPr>
          <w:rFonts w:ascii="Arial" w:hAnsi="Arial" w:cs="Arial"/>
          <w:sz w:val="20"/>
          <w:szCs w:val="20"/>
        </w:rPr>
        <w:lastRenderedPageBreak/>
        <w:t>realizace kampaní v zahraniční a Česku – karlovské výročí jako hlavní komunikační téma marketingových plánů jednotlivých zahraničích poboček i centrály</w:t>
      </w:r>
    </w:p>
    <w:p w:rsidR="00CB5777" w:rsidRPr="00CB5777" w:rsidRDefault="00CB5777" w:rsidP="00CB5777">
      <w:pPr>
        <w:spacing w:before="0" w:after="120" w:line="240" w:lineRule="auto"/>
        <w:rPr>
          <w:rFonts w:ascii="Arial" w:hAnsi="Arial" w:cs="Arial"/>
          <w:sz w:val="20"/>
          <w:szCs w:val="20"/>
        </w:rPr>
      </w:pPr>
      <w:r w:rsidRPr="00CB5777">
        <w:rPr>
          <w:rFonts w:ascii="Arial" w:hAnsi="Arial" w:cs="Arial"/>
          <w:sz w:val="20"/>
          <w:szCs w:val="20"/>
        </w:rPr>
        <w:t xml:space="preserve">Kromě karlovského výročí bude CzechTourism pokračovat i v produktové komunikaci, která nebude přímo spojována s výročím (typu zimní kampaně </w:t>
      </w:r>
      <w:proofErr w:type="spellStart"/>
      <w:r w:rsidRPr="00CB5777">
        <w:rPr>
          <w:rFonts w:ascii="Arial" w:hAnsi="Arial" w:cs="Arial"/>
          <w:sz w:val="20"/>
          <w:szCs w:val="20"/>
        </w:rPr>
        <w:t>Snow</w:t>
      </w:r>
      <w:proofErr w:type="spellEnd"/>
      <w:r w:rsidRPr="00CB5777">
        <w:rPr>
          <w:rFonts w:ascii="Arial" w:hAnsi="Arial" w:cs="Arial"/>
          <w:sz w:val="20"/>
          <w:szCs w:val="20"/>
        </w:rPr>
        <w:t xml:space="preserve"> </w:t>
      </w:r>
      <w:proofErr w:type="spellStart"/>
      <w:r w:rsidRPr="00CB5777">
        <w:rPr>
          <w:rFonts w:ascii="Arial" w:hAnsi="Arial" w:cs="Arial"/>
          <w:sz w:val="20"/>
          <w:szCs w:val="20"/>
        </w:rPr>
        <w:t>and</w:t>
      </w:r>
      <w:proofErr w:type="spellEnd"/>
      <w:r w:rsidRPr="00CB5777">
        <w:rPr>
          <w:rFonts w:ascii="Arial" w:hAnsi="Arial" w:cs="Arial"/>
          <w:sz w:val="20"/>
          <w:szCs w:val="20"/>
        </w:rPr>
        <w:t xml:space="preserve"> </w:t>
      </w:r>
      <w:proofErr w:type="spellStart"/>
      <w:r w:rsidRPr="00CB5777">
        <w:rPr>
          <w:rFonts w:ascii="Arial" w:hAnsi="Arial" w:cs="Arial"/>
          <w:sz w:val="20"/>
          <w:szCs w:val="20"/>
        </w:rPr>
        <w:t>Fun</w:t>
      </w:r>
      <w:proofErr w:type="spellEnd"/>
      <w:r w:rsidRPr="00CB5777">
        <w:rPr>
          <w:rFonts w:ascii="Arial" w:hAnsi="Arial" w:cs="Arial"/>
          <w:sz w:val="20"/>
          <w:szCs w:val="20"/>
        </w:rPr>
        <w:t xml:space="preserve">, </w:t>
      </w:r>
      <w:proofErr w:type="spellStart"/>
      <w:r w:rsidRPr="00CB5777">
        <w:rPr>
          <w:rFonts w:ascii="Arial" w:hAnsi="Arial" w:cs="Arial"/>
          <w:sz w:val="20"/>
          <w:szCs w:val="20"/>
        </w:rPr>
        <w:t>medical</w:t>
      </w:r>
      <w:proofErr w:type="spellEnd"/>
      <w:r w:rsidRPr="00CB5777">
        <w:rPr>
          <w:rFonts w:ascii="Arial" w:hAnsi="Arial" w:cs="Arial"/>
          <w:sz w:val="20"/>
          <w:szCs w:val="20"/>
        </w:rPr>
        <w:t xml:space="preserve"> </w:t>
      </w:r>
      <w:proofErr w:type="spellStart"/>
      <w:r w:rsidRPr="00CB5777">
        <w:rPr>
          <w:rFonts w:ascii="Arial" w:hAnsi="Arial" w:cs="Arial"/>
          <w:sz w:val="20"/>
          <w:szCs w:val="20"/>
        </w:rPr>
        <w:t>tourism</w:t>
      </w:r>
      <w:proofErr w:type="spellEnd"/>
      <w:r w:rsidRPr="00CB5777">
        <w:rPr>
          <w:rFonts w:ascii="Arial" w:hAnsi="Arial" w:cs="Arial"/>
          <w:sz w:val="20"/>
          <w:szCs w:val="20"/>
        </w:rPr>
        <w:t>, B2B aktivity).</w:t>
      </w:r>
    </w:p>
    <w:p w:rsidR="006B0F1A" w:rsidRPr="00021064" w:rsidRDefault="006B0F1A" w:rsidP="00ED2E19">
      <w:pPr>
        <w:pStyle w:val="Nadpis2"/>
        <w:shd w:val="clear" w:color="auto" w:fill="92D050"/>
      </w:pPr>
      <w:bookmarkStart w:id="14" w:name="_Toc434585088"/>
      <w:r w:rsidRPr="00021064">
        <w:t>Koordinace politiky cestovního ruchu</w:t>
      </w:r>
      <w:bookmarkEnd w:id="14"/>
    </w:p>
    <w:p w:rsidR="006B0F1A" w:rsidRDefault="006B0F1A" w:rsidP="0070390A">
      <w:pPr>
        <w:pStyle w:val="Odstavecseseznamem"/>
        <w:numPr>
          <w:ilvl w:val="0"/>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Kolegium</w:t>
      </w:r>
      <w:r w:rsidR="003409B4">
        <w:rPr>
          <w:rFonts w:ascii="Arial" w:eastAsiaTheme="majorEastAsia" w:hAnsi="Arial" w:cs="Arial"/>
          <w:bCs/>
          <w:sz w:val="20"/>
          <w:szCs w:val="20"/>
        </w:rPr>
        <w:t xml:space="preserve"> cestovního ruchu</w:t>
      </w:r>
    </w:p>
    <w:p w:rsidR="00041ACB" w:rsidRDefault="00041ACB" w:rsidP="0070390A">
      <w:pPr>
        <w:pStyle w:val="Odstavecseseznamem"/>
        <w:numPr>
          <w:ilvl w:val="1"/>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Uspořádání 4. zasedání Kolegia cestovního ruchu je plánováno na 4.12.2015. Na</w:t>
      </w:r>
      <w:r w:rsidR="00021064">
        <w:rPr>
          <w:rFonts w:ascii="Arial" w:eastAsiaTheme="majorEastAsia" w:hAnsi="Arial" w:cs="Arial"/>
          <w:bCs/>
          <w:sz w:val="20"/>
          <w:szCs w:val="20"/>
        </w:rPr>
        <w:t> </w:t>
      </w:r>
      <w:r>
        <w:rPr>
          <w:rFonts w:ascii="Arial" w:eastAsiaTheme="majorEastAsia" w:hAnsi="Arial" w:cs="Arial"/>
          <w:bCs/>
          <w:sz w:val="20"/>
          <w:szCs w:val="20"/>
        </w:rPr>
        <w:t xml:space="preserve">programu jednání by měla být prezentace aktivit MMR v oblasti cestovního ruchu na rok 2016 (vychází z Akčního plánu), </w:t>
      </w:r>
      <w:r w:rsidR="00021064">
        <w:rPr>
          <w:rFonts w:ascii="Arial" w:eastAsiaTheme="majorEastAsia" w:hAnsi="Arial" w:cs="Arial"/>
          <w:bCs/>
          <w:sz w:val="20"/>
          <w:szCs w:val="20"/>
        </w:rPr>
        <w:t xml:space="preserve">představení Zprávy o plnění Koncepce státní politiky, </w:t>
      </w:r>
      <w:r>
        <w:rPr>
          <w:rFonts w:ascii="Arial" w:eastAsiaTheme="majorEastAsia" w:hAnsi="Arial" w:cs="Arial"/>
          <w:bCs/>
          <w:sz w:val="20"/>
          <w:szCs w:val="20"/>
        </w:rPr>
        <w:t>diskuse k aktuálním překážkám rozvoje cestovního ruchu, nastavení podporovaných aktivit národního programu podpory cestovního ruchu 2016+</w:t>
      </w:r>
      <w:r w:rsidR="00021064">
        <w:rPr>
          <w:rFonts w:ascii="Arial" w:eastAsiaTheme="majorEastAsia" w:hAnsi="Arial" w:cs="Arial"/>
          <w:bCs/>
          <w:sz w:val="20"/>
          <w:szCs w:val="20"/>
        </w:rPr>
        <w:t xml:space="preserve"> a další. Součástí jednání by mělo být i projednávání návrhů transformace Kolegia a jeho rozšíření o zástupce regionálních kolegií.</w:t>
      </w:r>
    </w:p>
    <w:p w:rsidR="006B0F1A" w:rsidRDefault="006B0F1A" w:rsidP="00D1549D">
      <w:pPr>
        <w:pStyle w:val="Odstavecseseznamem"/>
        <w:keepNext/>
        <w:keepLines/>
        <w:numPr>
          <w:ilvl w:val="0"/>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Meziresor</w:t>
      </w:r>
      <w:r w:rsidR="003409B4">
        <w:rPr>
          <w:rFonts w:ascii="Arial" w:eastAsiaTheme="majorEastAsia" w:hAnsi="Arial" w:cs="Arial"/>
          <w:bCs/>
          <w:sz w:val="20"/>
          <w:szCs w:val="20"/>
        </w:rPr>
        <w:t>tní koordinační komise pro cestovní ruch</w:t>
      </w:r>
    </w:p>
    <w:p w:rsidR="00021064" w:rsidRDefault="00021064" w:rsidP="00D1549D">
      <w:pPr>
        <w:pStyle w:val="Odstavecseseznamem"/>
        <w:keepNext/>
        <w:keepLines/>
        <w:numPr>
          <w:ilvl w:val="1"/>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MMR obnovilo činnost meziresortní koordinační komise pro cestovní ruch. Proběhla nominace nových členů</w:t>
      </w:r>
      <w:r w:rsidR="003409B4">
        <w:rPr>
          <w:rFonts w:ascii="Arial" w:eastAsiaTheme="majorEastAsia" w:hAnsi="Arial" w:cs="Arial"/>
          <w:bCs/>
          <w:sz w:val="20"/>
          <w:szCs w:val="20"/>
        </w:rPr>
        <w:t xml:space="preserve">. Jednání meziresortní koordinační komise je plánováno na 3. čtvrtletí 2015. Kromě stálých členů (MK, MPO, </w:t>
      </w:r>
      <w:proofErr w:type="spellStart"/>
      <w:r w:rsidR="003409B4">
        <w:rPr>
          <w:rFonts w:ascii="Arial" w:eastAsiaTheme="majorEastAsia" w:hAnsi="Arial" w:cs="Arial"/>
          <w:bCs/>
          <w:sz w:val="20"/>
          <w:szCs w:val="20"/>
        </w:rPr>
        <w:t>MZd</w:t>
      </w:r>
      <w:proofErr w:type="spellEnd"/>
      <w:r w:rsidR="003409B4">
        <w:rPr>
          <w:rFonts w:ascii="Arial" w:eastAsiaTheme="majorEastAsia" w:hAnsi="Arial" w:cs="Arial"/>
          <w:bCs/>
          <w:sz w:val="20"/>
          <w:szCs w:val="20"/>
        </w:rPr>
        <w:t xml:space="preserve">, </w:t>
      </w:r>
      <w:proofErr w:type="spellStart"/>
      <w:r w:rsidR="003409B4">
        <w:rPr>
          <w:rFonts w:ascii="Arial" w:eastAsiaTheme="majorEastAsia" w:hAnsi="Arial" w:cs="Arial"/>
          <w:bCs/>
          <w:sz w:val="20"/>
          <w:szCs w:val="20"/>
        </w:rPr>
        <w:t>MZe</w:t>
      </w:r>
      <w:proofErr w:type="spellEnd"/>
      <w:r w:rsidR="003409B4">
        <w:rPr>
          <w:rFonts w:ascii="Arial" w:eastAsiaTheme="majorEastAsia" w:hAnsi="Arial" w:cs="Arial"/>
          <w:bCs/>
          <w:sz w:val="20"/>
          <w:szCs w:val="20"/>
        </w:rPr>
        <w:t>, MF, MD, MV), budou v roli hostů na jednání pozváni i zástupci ostatních resortů. Na programu jednání je projednávání spolupráce na propagaci ČR v zahraničí, problematika jednotné propagace ČR, i možnost spolupráce na plnění opatření Akčního plánu.</w:t>
      </w:r>
    </w:p>
    <w:p w:rsidR="006B0F1A" w:rsidRDefault="006B0F1A" w:rsidP="0070390A">
      <w:pPr>
        <w:pStyle w:val="Odstavecseseznamem"/>
        <w:numPr>
          <w:ilvl w:val="0"/>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Jednání o regionálním kolegiu</w:t>
      </w:r>
    </w:p>
    <w:p w:rsidR="003409B4" w:rsidRDefault="003409B4" w:rsidP="0070390A">
      <w:pPr>
        <w:pStyle w:val="Odstavecseseznamem"/>
        <w:numPr>
          <w:ilvl w:val="1"/>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MMR na jednání se zástupci RSK a NSK v průběhu prvního pololetí představilo myšlenku na zřízení tzv. regionálních kolegií cestovního ruchu, které by vznikly v rámci RSK. Většina krajů ČR považuje rozvoj cestovního ruchu jako jednu ze svých významných priorit, zástupci RSK a NSK pozitivně přijali vznik tzv. regionálních kolegií, jako komunikačních a koordinačních platforem pro rozvoj cestovního ruchu v regionu.</w:t>
      </w:r>
    </w:p>
    <w:p w:rsidR="003409B4" w:rsidRDefault="003409B4" w:rsidP="0070390A">
      <w:pPr>
        <w:pStyle w:val="Odstavecseseznamem"/>
        <w:numPr>
          <w:ilvl w:val="1"/>
          <w:numId w:val="22"/>
        </w:numPr>
        <w:spacing w:before="0" w:line="240" w:lineRule="auto"/>
        <w:ind w:hanging="357"/>
        <w:contextualSpacing w:val="0"/>
        <w:rPr>
          <w:rFonts w:ascii="Arial" w:eastAsiaTheme="majorEastAsia" w:hAnsi="Arial" w:cs="Arial"/>
          <w:bCs/>
          <w:sz w:val="20"/>
          <w:szCs w:val="20"/>
        </w:rPr>
      </w:pPr>
      <w:r>
        <w:rPr>
          <w:rFonts w:ascii="Arial" w:eastAsiaTheme="majorEastAsia" w:hAnsi="Arial" w:cs="Arial"/>
          <w:bCs/>
          <w:sz w:val="20"/>
          <w:szCs w:val="20"/>
        </w:rPr>
        <w:t>MMR prověřovalo několik variant vzniku regionálních kolegií a připravilo statut a</w:t>
      </w:r>
      <w:r w:rsidR="004D2A66">
        <w:rPr>
          <w:rFonts w:ascii="Arial" w:eastAsiaTheme="majorEastAsia" w:hAnsi="Arial" w:cs="Arial"/>
          <w:bCs/>
          <w:sz w:val="20"/>
          <w:szCs w:val="20"/>
        </w:rPr>
        <w:t> </w:t>
      </w:r>
      <w:r>
        <w:rPr>
          <w:rFonts w:ascii="Arial" w:eastAsiaTheme="majorEastAsia" w:hAnsi="Arial" w:cs="Arial"/>
          <w:bCs/>
          <w:sz w:val="20"/>
          <w:szCs w:val="20"/>
        </w:rPr>
        <w:t>jednací řád pracovní skupiny RSK pro cestovní ruch</w:t>
      </w:r>
      <w:r w:rsidR="004D2A66">
        <w:rPr>
          <w:rFonts w:ascii="Arial" w:eastAsiaTheme="majorEastAsia" w:hAnsi="Arial" w:cs="Arial"/>
          <w:bCs/>
          <w:sz w:val="20"/>
          <w:szCs w:val="20"/>
        </w:rPr>
        <w:t>. Varianty vzniku regionálních kolegií byly následně postoupeny regionálním subjektům k připomínkám. Na základě jednání k regionálním kolegiím cestovního ruchu, které proběhlo v říjnu 2015, bylo dohodnuto, že regionální kolegia vzniknou transformací ve většině krajů existujících komisí cestovního ruchu (Jednotlivé kraje zašlou MMR prohlášení o spolupráci regionální komise cestovního ruchu a RSK, soupis členů regionální komise cestovního ruchu, přehled činnosti regionální komise. Současně dojde k rozšíření členů RSK o zástupce regionální komise, který bude následně i členem národního kolegia cestovního ruchu).</w:t>
      </w:r>
    </w:p>
    <w:p w:rsidR="004D2A66" w:rsidRDefault="004D2A66" w:rsidP="00ED2E19">
      <w:pPr>
        <w:pStyle w:val="Nadpis1"/>
      </w:pPr>
      <w:bookmarkStart w:id="15" w:name="_Toc434585089"/>
      <w:r>
        <w:t>Další realizované aktivity nezahrnuté do Akčního plánu</w:t>
      </w:r>
      <w:bookmarkEnd w:id="15"/>
    </w:p>
    <w:p w:rsidR="004D2A66" w:rsidRPr="004D2A66" w:rsidRDefault="004D2A66" w:rsidP="00D1549D">
      <w:pPr>
        <w:pStyle w:val="Nadpis2"/>
        <w:shd w:val="clear" w:color="auto" w:fill="92D050"/>
      </w:pPr>
      <w:bookmarkStart w:id="16" w:name="_Toc434585090"/>
      <w:r>
        <w:t>Implementace směrnice ES a Rady o souborných službách cestovního ruchu a cestách s asistovanou přípravou</w:t>
      </w:r>
      <w:bookmarkEnd w:id="16"/>
    </w:p>
    <w:p w:rsidR="00D1549D" w:rsidRPr="00A82104" w:rsidRDefault="00D1549D" w:rsidP="00A82104">
      <w:pPr>
        <w:spacing w:before="0" w:after="120" w:line="240" w:lineRule="auto"/>
        <w:rPr>
          <w:rFonts w:ascii="Arial" w:hAnsi="Arial" w:cs="Arial"/>
          <w:sz w:val="20"/>
          <w:szCs w:val="20"/>
        </w:rPr>
      </w:pPr>
      <w:r w:rsidRPr="00A82104">
        <w:rPr>
          <w:rFonts w:ascii="Arial" w:hAnsi="Arial" w:cs="Arial"/>
          <w:sz w:val="20"/>
          <w:szCs w:val="20"/>
        </w:rPr>
        <w:t xml:space="preserve">Směrnice Evropského parlamentu a Rady o souborných cestovních službách a spojených cestovních službách byla v říjnu 2015 schválena Evropským parlamentem. Během listopadu 2015 by měla být publikována v Úředním věstníku EU. Směrnice byla přijata řádným legislativním postupem. Transpoziční lhůta pro členské státy EU byla stanovena na 24 měsíců od vstupu směrnice v platnost – tj. do konce roku 2017. Gestorem je Ministerstvo pro místní rozvoj. </w:t>
      </w:r>
    </w:p>
    <w:p w:rsidR="00D1549D" w:rsidRPr="00A82104" w:rsidRDefault="00D1549D" w:rsidP="00A82104">
      <w:pPr>
        <w:spacing w:before="0" w:after="120" w:line="240" w:lineRule="auto"/>
        <w:rPr>
          <w:rFonts w:ascii="Arial" w:hAnsi="Arial" w:cs="Arial"/>
          <w:sz w:val="20"/>
          <w:szCs w:val="20"/>
        </w:rPr>
      </w:pPr>
      <w:r w:rsidRPr="00A82104">
        <w:rPr>
          <w:rFonts w:ascii="Arial" w:hAnsi="Arial" w:cs="Arial"/>
          <w:sz w:val="20"/>
          <w:szCs w:val="20"/>
        </w:rPr>
        <w:t xml:space="preserve">Směrnice reaguje na rozvoj on-line prodejních technik v oblasti cestovního ruchu. Odstraňuje některá nejasná ustanovení platné směrnice. Má dojít k většímu sjednocení pravidel pro prodej cestovních služeb, což bude mít dopad na posílení konkurenceschopnosti a důvěru spotřebitelů v přeshraniční nákup služeb. Mezi konkrétní příklady novinek lze například uvést zavedení zcela nové kategorie </w:t>
      </w:r>
      <w:r w:rsidRPr="00A82104">
        <w:rPr>
          <w:rFonts w:ascii="Arial" w:hAnsi="Arial" w:cs="Arial"/>
          <w:sz w:val="20"/>
          <w:szCs w:val="20"/>
        </w:rPr>
        <w:lastRenderedPageBreak/>
        <w:t>tzv.</w:t>
      </w:r>
      <w:r w:rsidR="00A82104">
        <w:rPr>
          <w:rFonts w:ascii="Arial" w:hAnsi="Arial" w:cs="Arial"/>
          <w:sz w:val="20"/>
          <w:szCs w:val="20"/>
        </w:rPr>
        <w:t> </w:t>
      </w:r>
      <w:r w:rsidRPr="00A82104">
        <w:rPr>
          <w:rFonts w:ascii="Arial" w:hAnsi="Arial" w:cs="Arial"/>
          <w:sz w:val="20"/>
          <w:szCs w:val="20"/>
        </w:rPr>
        <w:t xml:space="preserve">spojených cestovních služeb, u kterých obchodníci zprostředkovávající tyto služby nebudou podléhat stejným povinnostem jako pořadatelé zájezdů. Další novinkou je právo na odstoupení spotřebitele od smlouvy v případě tzv. vis maior (jako např. živelné pohromy, válka, propuknutí epidemie) bez nutnosti zaplacení storno poplatků a konkretizace pomoci cestujícím v nouzi. Zpřesněna byla ustanovení týkající se povinnosti pořadatele zajistit ubytování cestujícímu až na tři noci v případě neočekávaných a mimořádných okolností v destinaci. Nově jsou dále upravena pravidla pro odstoupení od smlouvy pro cestujícího bez placení storno poplatků v případě zvýšení ceny o více jak 8%. Směrnice dále řeší kolizi nároků na náhradu škody, které vyplývají ze směrnice a z dalších unijních předpisů upravujících náhrady cestujícím v dopravě. </w:t>
      </w:r>
    </w:p>
    <w:p w:rsidR="00062937" w:rsidRDefault="00D1549D" w:rsidP="00D1549D">
      <w:pPr>
        <w:pStyle w:val="Nadpis2"/>
        <w:shd w:val="clear" w:color="auto" w:fill="92D050"/>
      </w:pPr>
      <w:bookmarkStart w:id="17" w:name="_Toc434585091"/>
      <w:r>
        <w:t>Sdílená ekonomika</w:t>
      </w:r>
      <w:bookmarkEnd w:id="17"/>
    </w:p>
    <w:p w:rsidR="00D1549D" w:rsidRPr="00D1549D" w:rsidRDefault="00D1549D" w:rsidP="00D1549D">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 xml:space="preserve">Rozvoj sdílené ekonomiky je úzce spojen s rozvojem informačních technologií. V evropském rámci zahrnuje tento fenomén nejen samotné „sdílení“ (např. auta nebo bytu), nýbrž také celou řadu služeb – půjčování věcí, stravování, maloobchod, spotřebitelské a řemeslné služby, hlídání dětí, zprostředkování služeb, média, zábavu atd. </w:t>
      </w:r>
    </w:p>
    <w:p w:rsidR="00D1549D" w:rsidRPr="00D1549D" w:rsidRDefault="00D1549D" w:rsidP="00D1549D">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 xml:space="preserve">Přednosti (pro spotřebitele): zpravidla nižší cena nabízených a poskytovaných služeb. </w:t>
      </w:r>
    </w:p>
    <w:p w:rsidR="00D1549D" w:rsidRPr="00D1549D" w:rsidRDefault="00D1549D" w:rsidP="00D1549D">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 xml:space="preserve">Negativa (pro spotřebitele): vytváření nerovné konkurence tradičním poskytovatelům služeb, nedostatečná ochrana spotřebitele - chybí odpovídající dohled a dozor (např. nedodržování přísných kritérií z pohledu požární ochrany). </w:t>
      </w:r>
    </w:p>
    <w:p w:rsidR="00D1549D" w:rsidRPr="00D1549D" w:rsidRDefault="00D1549D" w:rsidP="00D1549D">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Sdílená ekonomika vytváří potenciál pro existenci šedé ekonomiky, do svých cen nezahrnují náklady a</w:t>
      </w:r>
      <w:r>
        <w:rPr>
          <w:rFonts w:ascii="Arial" w:eastAsiaTheme="majorEastAsia" w:hAnsi="Arial" w:cs="Arial"/>
          <w:bCs/>
          <w:sz w:val="20"/>
          <w:szCs w:val="20"/>
        </w:rPr>
        <w:t> </w:t>
      </w:r>
      <w:r w:rsidRPr="00D1549D">
        <w:rPr>
          <w:rFonts w:ascii="Arial" w:eastAsiaTheme="majorEastAsia" w:hAnsi="Arial" w:cs="Arial"/>
          <w:bCs/>
          <w:sz w:val="20"/>
          <w:szCs w:val="20"/>
        </w:rPr>
        <w:t>odvody spojené s dodržováním povinností spojených s poskytováním ubytovacích služeb podle příslušných předpisů (jako jsou např. daně).</w:t>
      </w:r>
    </w:p>
    <w:p w:rsidR="00D1549D" w:rsidRPr="00D1549D" w:rsidRDefault="00D1549D" w:rsidP="00D1549D">
      <w:pPr>
        <w:spacing w:before="0" w:after="120" w:line="240" w:lineRule="auto"/>
        <w:rPr>
          <w:rFonts w:ascii="Arial" w:eastAsiaTheme="majorEastAsia" w:hAnsi="Arial" w:cs="Arial"/>
          <w:bCs/>
          <w:sz w:val="20"/>
          <w:szCs w:val="20"/>
        </w:rPr>
      </w:pPr>
      <w:r w:rsidRPr="00D1549D">
        <w:rPr>
          <w:rFonts w:ascii="Arial" w:eastAsiaTheme="majorEastAsia" w:hAnsi="Arial" w:cs="Arial"/>
          <w:bCs/>
          <w:sz w:val="20"/>
          <w:szCs w:val="20"/>
        </w:rPr>
        <w:t>MMR podporuje přiměřenou formu regulace formou certifikace produktů či služeb sdílené ekonomiky a</w:t>
      </w:r>
      <w:r>
        <w:rPr>
          <w:rFonts w:ascii="Arial" w:eastAsiaTheme="majorEastAsia" w:hAnsi="Arial" w:cs="Arial"/>
          <w:bCs/>
          <w:sz w:val="20"/>
          <w:szCs w:val="20"/>
        </w:rPr>
        <w:t> </w:t>
      </w:r>
      <w:r w:rsidRPr="00D1549D">
        <w:rPr>
          <w:rFonts w:ascii="Arial" w:eastAsiaTheme="majorEastAsia" w:hAnsi="Arial" w:cs="Arial"/>
          <w:bCs/>
          <w:sz w:val="20"/>
          <w:szCs w:val="20"/>
        </w:rPr>
        <w:t>ochranu spotřebitele. MMR dále podporuje vymáhání již existujících předpisů, a zároveň upozorňuje na riziko nadbytečné regulace v oblastech, které nutně regulaci z povahy věci nevyžadují. Oblast cestovního ruchu – zejména poskytování ubytovacích služeb je sdílenou ekonomikou nejvíce ohrožena.</w:t>
      </w:r>
    </w:p>
    <w:p w:rsidR="00D1549D" w:rsidRDefault="00D1549D" w:rsidP="00062937">
      <w:pPr>
        <w:spacing w:before="0" w:after="120" w:line="240" w:lineRule="auto"/>
        <w:jc w:val="left"/>
        <w:rPr>
          <w:rFonts w:ascii="Arial" w:eastAsiaTheme="majorEastAsia" w:hAnsi="Arial" w:cs="Arial"/>
          <w:bCs/>
          <w:sz w:val="20"/>
          <w:szCs w:val="20"/>
        </w:rPr>
      </w:pPr>
    </w:p>
    <w:p w:rsidR="00515056" w:rsidRDefault="00515056" w:rsidP="00515056">
      <w:pPr>
        <w:pStyle w:val="Nadpis1"/>
      </w:pPr>
      <w:bookmarkStart w:id="18" w:name="_Toc434585092"/>
      <w:r>
        <w:t>Přílohy</w:t>
      </w:r>
      <w:bookmarkEnd w:id="18"/>
    </w:p>
    <w:p w:rsidR="00515056" w:rsidRDefault="00515056" w:rsidP="00515056">
      <w:pPr>
        <w:pStyle w:val="Nadpis2"/>
      </w:pPr>
      <w:bookmarkStart w:id="19" w:name="_Toc434585093"/>
      <w:r>
        <w:t>Cestovní ruch v ČR – časové řady</w:t>
      </w:r>
      <w:bookmarkEnd w:id="19"/>
    </w:p>
    <w:p w:rsidR="00515056" w:rsidRDefault="00515056" w:rsidP="00062937">
      <w:pPr>
        <w:spacing w:before="0" w:after="120" w:line="240" w:lineRule="auto"/>
        <w:jc w:val="left"/>
        <w:rPr>
          <w:rFonts w:ascii="Arial" w:eastAsiaTheme="majorEastAsia" w:hAnsi="Arial" w:cs="Arial"/>
          <w:bCs/>
          <w:sz w:val="20"/>
          <w:szCs w:val="20"/>
        </w:rPr>
      </w:pPr>
      <w:r>
        <w:rPr>
          <w:rFonts w:ascii="Arial" w:eastAsiaTheme="majorEastAsia" w:hAnsi="Arial" w:cs="Arial"/>
          <w:bCs/>
          <w:sz w:val="20"/>
          <w:szCs w:val="20"/>
        </w:rPr>
        <w:t>Viz samostatná příloha.</w:t>
      </w:r>
    </w:p>
    <w:p w:rsidR="00515056" w:rsidRPr="0083718B" w:rsidRDefault="00515056" w:rsidP="00062937">
      <w:pPr>
        <w:spacing w:before="0" w:after="120" w:line="240" w:lineRule="auto"/>
        <w:jc w:val="left"/>
        <w:rPr>
          <w:rFonts w:ascii="Arial" w:eastAsiaTheme="majorEastAsia" w:hAnsi="Arial" w:cs="Arial"/>
          <w:bCs/>
          <w:sz w:val="20"/>
          <w:szCs w:val="20"/>
        </w:rPr>
      </w:pPr>
    </w:p>
    <w:sectPr w:rsidR="00515056" w:rsidRPr="0083718B" w:rsidSect="00417B12">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0B" w:rsidRDefault="00CA630B" w:rsidP="009D4DEB">
      <w:pPr>
        <w:spacing w:before="0" w:line="240" w:lineRule="auto"/>
      </w:pPr>
      <w:r>
        <w:separator/>
      </w:r>
    </w:p>
  </w:endnote>
  <w:endnote w:type="continuationSeparator" w:id="0">
    <w:p w:rsidR="00CA630B" w:rsidRDefault="00CA630B" w:rsidP="009D4DEB">
      <w:pPr>
        <w:spacing w:before="0" w:line="240" w:lineRule="auto"/>
      </w:pPr>
      <w:r>
        <w:continuationSeparator/>
      </w:r>
    </w:p>
  </w:endnote>
  <w:endnote w:type="continuationNotice" w:id="1">
    <w:p w:rsidR="00CA630B" w:rsidRDefault="00CA630B">
      <w:pPr>
        <w:spacing w:before="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97646"/>
      <w:docPartObj>
        <w:docPartGallery w:val="Page Numbers (Bottom of Page)"/>
        <w:docPartUnique/>
      </w:docPartObj>
    </w:sdtPr>
    <w:sdtEndPr>
      <w:rPr>
        <w:rFonts w:ascii="Arial" w:hAnsi="Arial" w:cs="Arial"/>
      </w:rPr>
    </w:sdtEndPr>
    <w:sdtContent>
      <w:p w:rsidR="00CF5222" w:rsidRPr="0089063A" w:rsidRDefault="00D95029">
        <w:pPr>
          <w:pStyle w:val="Zpat"/>
          <w:jc w:val="center"/>
          <w:rPr>
            <w:rFonts w:ascii="Arial" w:hAnsi="Arial" w:cs="Arial"/>
          </w:rPr>
        </w:pPr>
        <w:r w:rsidRPr="0089063A">
          <w:rPr>
            <w:rFonts w:ascii="Arial" w:hAnsi="Arial" w:cs="Arial"/>
          </w:rPr>
          <w:fldChar w:fldCharType="begin"/>
        </w:r>
        <w:r w:rsidR="00CF5222" w:rsidRPr="0089063A">
          <w:rPr>
            <w:rFonts w:ascii="Arial" w:hAnsi="Arial" w:cs="Arial"/>
          </w:rPr>
          <w:instrText xml:space="preserve"> PAGE   \* MERGEFORMAT </w:instrText>
        </w:r>
        <w:r w:rsidRPr="0089063A">
          <w:rPr>
            <w:rFonts w:ascii="Arial" w:hAnsi="Arial" w:cs="Arial"/>
          </w:rPr>
          <w:fldChar w:fldCharType="separate"/>
        </w:r>
        <w:r w:rsidR="00DC0529">
          <w:rPr>
            <w:rFonts w:ascii="Arial" w:hAnsi="Arial" w:cs="Arial"/>
            <w:noProof/>
          </w:rPr>
          <w:t>11</w:t>
        </w:r>
        <w:r w:rsidRPr="0089063A">
          <w:rPr>
            <w:rFonts w:ascii="Arial" w:hAnsi="Arial" w:cs="Arial"/>
            <w:noProof/>
          </w:rPr>
          <w:fldChar w:fldCharType="end"/>
        </w:r>
      </w:p>
    </w:sdtContent>
  </w:sdt>
  <w:p w:rsidR="00CF5222" w:rsidRDefault="00CF522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0B" w:rsidRDefault="00CA630B" w:rsidP="009D4DEB">
      <w:pPr>
        <w:spacing w:before="0" w:line="240" w:lineRule="auto"/>
      </w:pPr>
      <w:r>
        <w:separator/>
      </w:r>
    </w:p>
  </w:footnote>
  <w:footnote w:type="continuationSeparator" w:id="0">
    <w:p w:rsidR="00CA630B" w:rsidRDefault="00CA630B" w:rsidP="009D4DEB">
      <w:pPr>
        <w:spacing w:before="0" w:line="240" w:lineRule="auto"/>
      </w:pPr>
      <w:r>
        <w:continuationSeparator/>
      </w:r>
    </w:p>
  </w:footnote>
  <w:footnote w:type="continuationNotice" w:id="1">
    <w:p w:rsidR="00CA630B" w:rsidRDefault="00CA630B">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BD2"/>
    <w:multiLevelType w:val="hybridMultilevel"/>
    <w:tmpl w:val="86D0682E"/>
    <w:lvl w:ilvl="0" w:tplc="A61282A6">
      <w:start w:val="1"/>
      <w:numFmt w:val="bullet"/>
      <w:lvlText w:val=""/>
      <w:lvlJc w:val="left"/>
      <w:pPr>
        <w:tabs>
          <w:tab w:val="num" w:pos="720"/>
        </w:tabs>
        <w:ind w:left="720" w:hanging="360"/>
      </w:pPr>
      <w:rPr>
        <w:rFonts w:ascii="Wingdings" w:hAnsi="Wingdings" w:hint="default"/>
      </w:rPr>
    </w:lvl>
    <w:lvl w:ilvl="1" w:tplc="B04C07C8">
      <w:start w:val="6"/>
      <w:numFmt w:val="bullet"/>
      <w:lvlText w:val="-"/>
      <w:lvlJc w:val="left"/>
      <w:pPr>
        <w:tabs>
          <w:tab w:val="num" w:pos="1440"/>
        </w:tabs>
        <w:ind w:left="1440" w:hanging="360"/>
      </w:pPr>
      <w:rPr>
        <w:rFonts w:ascii="Times New Roman" w:eastAsia="Arial Unicode MS" w:hAnsi="Times New Roman" w:cs="Times New Roman" w:hint="default"/>
        <w:b w:val="0"/>
        <w:sz w:val="22"/>
      </w:rPr>
    </w:lvl>
    <w:lvl w:ilvl="2" w:tplc="FE92AAA8" w:tentative="1">
      <w:start w:val="1"/>
      <w:numFmt w:val="bullet"/>
      <w:lvlText w:val=""/>
      <w:lvlJc w:val="left"/>
      <w:pPr>
        <w:tabs>
          <w:tab w:val="num" w:pos="2160"/>
        </w:tabs>
        <w:ind w:left="2160" w:hanging="360"/>
      </w:pPr>
      <w:rPr>
        <w:rFonts w:ascii="Wingdings" w:hAnsi="Wingdings" w:hint="default"/>
      </w:rPr>
    </w:lvl>
    <w:lvl w:ilvl="3" w:tplc="95CA063E" w:tentative="1">
      <w:start w:val="1"/>
      <w:numFmt w:val="bullet"/>
      <w:lvlText w:val=""/>
      <w:lvlJc w:val="left"/>
      <w:pPr>
        <w:tabs>
          <w:tab w:val="num" w:pos="2880"/>
        </w:tabs>
        <w:ind w:left="2880" w:hanging="360"/>
      </w:pPr>
      <w:rPr>
        <w:rFonts w:ascii="Wingdings" w:hAnsi="Wingdings" w:hint="default"/>
      </w:rPr>
    </w:lvl>
    <w:lvl w:ilvl="4" w:tplc="F23A3DFE" w:tentative="1">
      <w:start w:val="1"/>
      <w:numFmt w:val="bullet"/>
      <w:lvlText w:val=""/>
      <w:lvlJc w:val="left"/>
      <w:pPr>
        <w:tabs>
          <w:tab w:val="num" w:pos="3600"/>
        </w:tabs>
        <w:ind w:left="3600" w:hanging="360"/>
      </w:pPr>
      <w:rPr>
        <w:rFonts w:ascii="Wingdings" w:hAnsi="Wingdings" w:hint="default"/>
      </w:rPr>
    </w:lvl>
    <w:lvl w:ilvl="5" w:tplc="8C52D1E0" w:tentative="1">
      <w:start w:val="1"/>
      <w:numFmt w:val="bullet"/>
      <w:lvlText w:val=""/>
      <w:lvlJc w:val="left"/>
      <w:pPr>
        <w:tabs>
          <w:tab w:val="num" w:pos="4320"/>
        </w:tabs>
        <w:ind w:left="4320" w:hanging="360"/>
      </w:pPr>
      <w:rPr>
        <w:rFonts w:ascii="Wingdings" w:hAnsi="Wingdings" w:hint="default"/>
      </w:rPr>
    </w:lvl>
    <w:lvl w:ilvl="6" w:tplc="32C06C1E" w:tentative="1">
      <w:start w:val="1"/>
      <w:numFmt w:val="bullet"/>
      <w:lvlText w:val=""/>
      <w:lvlJc w:val="left"/>
      <w:pPr>
        <w:tabs>
          <w:tab w:val="num" w:pos="5040"/>
        </w:tabs>
        <w:ind w:left="5040" w:hanging="360"/>
      </w:pPr>
      <w:rPr>
        <w:rFonts w:ascii="Wingdings" w:hAnsi="Wingdings" w:hint="default"/>
      </w:rPr>
    </w:lvl>
    <w:lvl w:ilvl="7" w:tplc="3F3C6D48" w:tentative="1">
      <w:start w:val="1"/>
      <w:numFmt w:val="bullet"/>
      <w:lvlText w:val=""/>
      <w:lvlJc w:val="left"/>
      <w:pPr>
        <w:tabs>
          <w:tab w:val="num" w:pos="5760"/>
        </w:tabs>
        <w:ind w:left="5760" w:hanging="360"/>
      </w:pPr>
      <w:rPr>
        <w:rFonts w:ascii="Wingdings" w:hAnsi="Wingdings" w:hint="default"/>
      </w:rPr>
    </w:lvl>
    <w:lvl w:ilvl="8" w:tplc="C3A4E9E0" w:tentative="1">
      <w:start w:val="1"/>
      <w:numFmt w:val="bullet"/>
      <w:lvlText w:val=""/>
      <w:lvlJc w:val="left"/>
      <w:pPr>
        <w:tabs>
          <w:tab w:val="num" w:pos="6480"/>
        </w:tabs>
        <w:ind w:left="6480" w:hanging="360"/>
      </w:pPr>
      <w:rPr>
        <w:rFonts w:ascii="Wingdings" w:hAnsi="Wingdings" w:hint="default"/>
      </w:rPr>
    </w:lvl>
  </w:abstractNum>
  <w:abstractNum w:abstractNumId="1">
    <w:nsid w:val="06563101"/>
    <w:multiLevelType w:val="hybridMultilevel"/>
    <w:tmpl w:val="4C78FC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A63C31"/>
    <w:multiLevelType w:val="hybridMultilevel"/>
    <w:tmpl w:val="C45C9ED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E0196A"/>
    <w:multiLevelType w:val="multilevel"/>
    <w:tmpl w:val="72A2422E"/>
    <w:lvl w:ilvl="0">
      <w:start w:val="1"/>
      <w:numFmt w:val="decimal"/>
      <w:pStyle w:val="Nadpis1"/>
      <w:lvlText w:val="%1."/>
      <w:lvlJc w:val="left"/>
      <w:pPr>
        <w:ind w:left="644" w:hanging="360"/>
      </w:pPr>
    </w:lvl>
    <w:lvl w:ilvl="1">
      <w:start w:val="1"/>
      <w:numFmt w:val="decimal"/>
      <w:pStyle w:val="Nadpis2"/>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051380"/>
    <w:multiLevelType w:val="hybridMultilevel"/>
    <w:tmpl w:val="74904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541D09"/>
    <w:multiLevelType w:val="hybridMultilevel"/>
    <w:tmpl w:val="3F54056E"/>
    <w:lvl w:ilvl="0" w:tplc="B198A8F2">
      <w:start w:val="1"/>
      <w:numFmt w:val="bullet"/>
      <w:lvlText w:val=""/>
      <w:lvlJc w:val="left"/>
      <w:pPr>
        <w:tabs>
          <w:tab w:val="num" w:pos="720"/>
        </w:tabs>
        <w:ind w:left="720" w:hanging="360"/>
      </w:pPr>
      <w:rPr>
        <w:rFonts w:ascii="Wingdings" w:hAnsi="Wingdings" w:hint="default"/>
      </w:rPr>
    </w:lvl>
    <w:lvl w:ilvl="1" w:tplc="D4F2E42E" w:tentative="1">
      <w:start w:val="1"/>
      <w:numFmt w:val="bullet"/>
      <w:lvlText w:val=""/>
      <w:lvlJc w:val="left"/>
      <w:pPr>
        <w:tabs>
          <w:tab w:val="num" w:pos="1440"/>
        </w:tabs>
        <w:ind w:left="1440" w:hanging="360"/>
      </w:pPr>
      <w:rPr>
        <w:rFonts w:ascii="Wingdings" w:hAnsi="Wingdings" w:hint="default"/>
      </w:rPr>
    </w:lvl>
    <w:lvl w:ilvl="2" w:tplc="7E981C84" w:tentative="1">
      <w:start w:val="1"/>
      <w:numFmt w:val="bullet"/>
      <w:lvlText w:val=""/>
      <w:lvlJc w:val="left"/>
      <w:pPr>
        <w:tabs>
          <w:tab w:val="num" w:pos="2160"/>
        </w:tabs>
        <w:ind w:left="2160" w:hanging="360"/>
      </w:pPr>
      <w:rPr>
        <w:rFonts w:ascii="Wingdings" w:hAnsi="Wingdings" w:hint="default"/>
      </w:rPr>
    </w:lvl>
    <w:lvl w:ilvl="3" w:tplc="34B45B32" w:tentative="1">
      <w:start w:val="1"/>
      <w:numFmt w:val="bullet"/>
      <w:lvlText w:val=""/>
      <w:lvlJc w:val="left"/>
      <w:pPr>
        <w:tabs>
          <w:tab w:val="num" w:pos="2880"/>
        </w:tabs>
        <w:ind w:left="2880" w:hanging="360"/>
      </w:pPr>
      <w:rPr>
        <w:rFonts w:ascii="Wingdings" w:hAnsi="Wingdings" w:hint="default"/>
      </w:rPr>
    </w:lvl>
    <w:lvl w:ilvl="4" w:tplc="2A4E7D94" w:tentative="1">
      <w:start w:val="1"/>
      <w:numFmt w:val="bullet"/>
      <w:lvlText w:val=""/>
      <w:lvlJc w:val="left"/>
      <w:pPr>
        <w:tabs>
          <w:tab w:val="num" w:pos="3600"/>
        </w:tabs>
        <w:ind w:left="3600" w:hanging="360"/>
      </w:pPr>
      <w:rPr>
        <w:rFonts w:ascii="Wingdings" w:hAnsi="Wingdings" w:hint="default"/>
      </w:rPr>
    </w:lvl>
    <w:lvl w:ilvl="5" w:tplc="26A606A4" w:tentative="1">
      <w:start w:val="1"/>
      <w:numFmt w:val="bullet"/>
      <w:lvlText w:val=""/>
      <w:lvlJc w:val="left"/>
      <w:pPr>
        <w:tabs>
          <w:tab w:val="num" w:pos="4320"/>
        </w:tabs>
        <w:ind w:left="4320" w:hanging="360"/>
      </w:pPr>
      <w:rPr>
        <w:rFonts w:ascii="Wingdings" w:hAnsi="Wingdings" w:hint="default"/>
      </w:rPr>
    </w:lvl>
    <w:lvl w:ilvl="6" w:tplc="FDC64AB4" w:tentative="1">
      <w:start w:val="1"/>
      <w:numFmt w:val="bullet"/>
      <w:lvlText w:val=""/>
      <w:lvlJc w:val="left"/>
      <w:pPr>
        <w:tabs>
          <w:tab w:val="num" w:pos="5040"/>
        </w:tabs>
        <w:ind w:left="5040" w:hanging="360"/>
      </w:pPr>
      <w:rPr>
        <w:rFonts w:ascii="Wingdings" w:hAnsi="Wingdings" w:hint="default"/>
      </w:rPr>
    </w:lvl>
    <w:lvl w:ilvl="7" w:tplc="3EB63974" w:tentative="1">
      <w:start w:val="1"/>
      <w:numFmt w:val="bullet"/>
      <w:lvlText w:val=""/>
      <w:lvlJc w:val="left"/>
      <w:pPr>
        <w:tabs>
          <w:tab w:val="num" w:pos="5760"/>
        </w:tabs>
        <w:ind w:left="5760" w:hanging="360"/>
      </w:pPr>
      <w:rPr>
        <w:rFonts w:ascii="Wingdings" w:hAnsi="Wingdings" w:hint="default"/>
      </w:rPr>
    </w:lvl>
    <w:lvl w:ilvl="8" w:tplc="8B56C2D8" w:tentative="1">
      <w:start w:val="1"/>
      <w:numFmt w:val="bullet"/>
      <w:lvlText w:val=""/>
      <w:lvlJc w:val="left"/>
      <w:pPr>
        <w:tabs>
          <w:tab w:val="num" w:pos="6480"/>
        </w:tabs>
        <w:ind w:left="6480" w:hanging="360"/>
      </w:pPr>
      <w:rPr>
        <w:rFonts w:ascii="Wingdings" w:hAnsi="Wingdings" w:hint="default"/>
      </w:rPr>
    </w:lvl>
  </w:abstractNum>
  <w:abstractNum w:abstractNumId="6">
    <w:nsid w:val="10606147"/>
    <w:multiLevelType w:val="hybridMultilevel"/>
    <w:tmpl w:val="6D0E196C"/>
    <w:lvl w:ilvl="0" w:tplc="B412A060">
      <w:start w:val="1"/>
      <w:numFmt w:val="bullet"/>
      <w:lvlText w:val=""/>
      <w:lvlJc w:val="left"/>
      <w:pPr>
        <w:tabs>
          <w:tab w:val="num" w:pos="720"/>
        </w:tabs>
        <w:ind w:left="720" w:hanging="360"/>
      </w:pPr>
      <w:rPr>
        <w:rFonts w:ascii="Wingdings" w:hAnsi="Wingdings" w:hint="default"/>
      </w:rPr>
    </w:lvl>
    <w:lvl w:ilvl="1" w:tplc="18C6E5FA" w:tentative="1">
      <w:start w:val="1"/>
      <w:numFmt w:val="bullet"/>
      <w:lvlText w:val=""/>
      <w:lvlJc w:val="left"/>
      <w:pPr>
        <w:tabs>
          <w:tab w:val="num" w:pos="1440"/>
        </w:tabs>
        <w:ind w:left="1440" w:hanging="360"/>
      </w:pPr>
      <w:rPr>
        <w:rFonts w:ascii="Wingdings" w:hAnsi="Wingdings" w:hint="default"/>
      </w:rPr>
    </w:lvl>
    <w:lvl w:ilvl="2" w:tplc="34366CE2" w:tentative="1">
      <w:start w:val="1"/>
      <w:numFmt w:val="bullet"/>
      <w:lvlText w:val=""/>
      <w:lvlJc w:val="left"/>
      <w:pPr>
        <w:tabs>
          <w:tab w:val="num" w:pos="2160"/>
        </w:tabs>
        <w:ind w:left="2160" w:hanging="360"/>
      </w:pPr>
      <w:rPr>
        <w:rFonts w:ascii="Wingdings" w:hAnsi="Wingdings" w:hint="default"/>
      </w:rPr>
    </w:lvl>
    <w:lvl w:ilvl="3" w:tplc="8CBEEDF6" w:tentative="1">
      <w:start w:val="1"/>
      <w:numFmt w:val="bullet"/>
      <w:lvlText w:val=""/>
      <w:lvlJc w:val="left"/>
      <w:pPr>
        <w:tabs>
          <w:tab w:val="num" w:pos="2880"/>
        </w:tabs>
        <w:ind w:left="2880" w:hanging="360"/>
      </w:pPr>
      <w:rPr>
        <w:rFonts w:ascii="Wingdings" w:hAnsi="Wingdings" w:hint="default"/>
      </w:rPr>
    </w:lvl>
    <w:lvl w:ilvl="4" w:tplc="8E6ADC14" w:tentative="1">
      <w:start w:val="1"/>
      <w:numFmt w:val="bullet"/>
      <w:lvlText w:val=""/>
      <w:lvlJc w:val="left"/>
      <w:pPr>
        <w:tabs>
          <w:tab w:val="num" w:pos="3600"/>
        </w:tabs>
        <w:ind w:left="3600" w:hanging="360"/>
      </w:pPr>
      <w:rPr>
        <w:rFonts w:ascii="Wingdings" w:hAnsi="Wingdings" w:hint="default"/>
      </w:rPr>
    </w:lvl>
    <w:lvl w:ilvl="5" w:tplc="7A7C5BB2" w:tentative="1">
      <w:start w:val="1"/>
      <w:numFmt w:val="bullet"/>
      <w:lvlText w:val=""/>
      <w:lvlJc w:val="left"/>
      <w:pPr>
        <w:tabs>
          <w:tab w:val="num" w:pos="4320"/>
        </w:tabs>
        <w:ind w:left="4320" w:hanging="360"/>
      </w:pPr>
      <w:rPr>
        <w:rFonts w:ascii="Wingdings" w:hAnsi="Wingdings" w:hint="default"/>
      </w:rPr>
    </w:lvl>
    <w:lvl w:ilvl="6" w:tplc="37064FC4" w:tentative="1">
      <w:start w:val="1"/>
      <w:numFmt w:val="bullet"/>
      <w:lvlText w:val=""/>
      <w:lvlJc w:val="left"/>
      <w:pPr>
        <w:tabs>
          <w:tab w:val="num" w:pos="5040"/>
        </w:tabs>
        <w:ind w:left="5040" w:hanging="360"/>
      </w:pPr>
      <w:rPr>
        <w:rFonts w:ascii="Wingdings" w:hAnsi="Wingdings" w:hint="default"/>
      </w:rPr>
    </w:lvl>
    <w:lvl w:ilvl="7" w:tplc="967448C6" w:tentative="1">
      <w:start w:val="1"/>
      <w:numFmt w:val="bullet"/>
      <w:lvlText w:val=""/>
      <w:lvlJc w:val="left"/>
      <w:pPr>
        <w:tabs>
          <w:tab w:val="num" w:pos="5760"/>
        </w:tabs>
        <w:ind w:left="5760" w:hanging="360"/>
      </w:pPr>
      <w:rPr>
        <w:rFonts w:ascii="Wingdings" w:hAnsi="Wingdings" w:hint="default"/>
      </w:rPr>
    </w:lvl>
    <w:lvl w:ilvl="8" w:tplc="41420DFA" w:tentative="1">
      <w:start w:val="1"/>
      <w:numFmt w:val="bullet"/>
      <w:lvlText w:val=""/>
      <w:lvlJc w:val="left"/>
      <w:pPr>
        <w:tabs>
          <w:tab w:val="num" w:pos="6480"/>
        </w:tabs>
        <w:ind w:left="6480" w:hanging="360"/>
      </w:pPr>
      <w:rPr>
        <w:rFonts w:ascii="Wingdings" w:hAnsi="Wingdings" w:hint="default"/>
      </w:rPr>
    </w:lvl>
  </w:abstractNum>
  <w:abstractNum w:abstractNumId="7">
    <w:nsid w:val="1B1366DA"/>
    <w:multiLevelType w:val="hybridMultilevel"/>
    <w:tmpl w:val="ED5ED1E8"/>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1472CA"/>
    <w:multiLevelType w:val="hybridMultilevel"/>
    <w:tmpl w:val="02F60B30"/>
    <w:lvl w:ilvl="0" w:tplc="9FFAA636">
      <w:start w:val="1"/>
      <w:numFmt w:val="bullet"/>
      <w:lvlText w:val=""/>
      <w:lvlJc w:val="left"/>
      <w:pPr>
        <w:tabs>
          <w:tab w:val="num" w:pos="720"/>
        </w:tabs>
        <w:ind w:left="720" w:hanging="360"/>
      </w:pPr>
      <w:rPr>
        <w:rFonts w:ascii="Wingdings" w:hAnsi="Wingdings" w:hint="default"/>
      </w:rPr>
    </w:lvl>
    <w:lvl w:ilvl="1" w:tplc="FEFA451E" w:tentative="1">
      <w:start w:val="1"/>
      <w:numFmt w:val="bullet"/>
      <w:lvlText w:val=""/>
      <w:lvlJc w:val="left"/>
      <w:pPr>
        <w:tabs>
          <w:tab w:val="num" w:pos="1440"/>
        </w:tabs>
        <w:ind w:left="1440" w:hanging="360"/>
      </w:pPr>
      <w:rPr>
        <w:rFonts w:ascii="Wingdings" w:hAnsi="Wingdings" w:hint="default"/>
      </w:rPr>
    </w:lvl>
    <w:lvl w:ilvl="2" w:tplc="E240499C" w:tentative="1">
      <w:start w:val="1"/>
      <w:numFmt w:val="bullet"/>
      <w:lvlText w:val=""/>
      <w:lvlJc w:val="left"/>
      <w:pPr>
        <w:tabs>
          <w:tab w:val="num" w:pos="2160"/>
        </w:tabs>
        <w:ind w:left="2160" w:hanging="360"/>
      </w:pPr>
      <w:rPr>
        <w:rFonts w:ascii="Wingdings" w:hAnsi="Wingdings" w:hint="default"/>
      </w:rPr>
    </w:lvl>
    <w:lvl w:ilvl="3" w:tplc="78167F40" w:tentative="1">
      <w:start w:val="1"/>
      <w:numFmt w:val="bullet"/>
      <w:lvlText w:val=""/>
      <w:lvlJc w:val="left"/>
      <w:pPr>
        <w:tabs>
          <w:tab w:val="num" w:pos="2880"/>
        </w:tabs>
        <w:ind w:left="2880" w:hanging="360"/>
      </w:pPr>
      <w:rPr>
        <w:rFonts w:ascii="Wingdings" w:hAnsi="Wingdings" w:hint="default"/>
      </w:rPr>
    </w:lvl>
    <w:lvl w:ilvl="4" w:tplc="61A0BA1E" w:tentative="1">
      <w:start w:val="1"/>
      <w:numFmt w:val="bullet"/>
      <w:lvlText w:val=""/>
      <w:lvlJc w:val="left"/>
      <w:pPr>
        <w:tabs>
          <w:tab w:val="num" w:pos="3600"/>
        </w:tabs>
        <w:ind w:left="3600" w:hanging="360"/>
      </w:pPr>
      <w:rPr>
        <w:rFonts w:ascii="Wingdings" w:hAnsi="Wingdings" w:hint="default"/>
      </w:rPr>
    </w:lvl>
    <w:lvl w:ilvl="5" w:tplc="8E1E7C42" w:tentative="1">
      <w:start w:val="1"/>
      <w:numFmt w:val="bullet"/>
      <w:lvlText w:val=""/>
      <w:lvlJc w:val="left"/>
      <w:pPr>
        <w:tabs>
          <w:tab w:val="num" w:pos="4320"/>
        </w:tabs>
        <w:ind w:left="4320" w:hanging="360"/>
      </w:pPr>
      <w:rPr>
        <w:rFonts w:ascii="Wingdings" w:hAnsi="Wingdings" w:hint="default"/>
      </w:rPr>
    </w:lvl>
    <w:lvl w:ilvl="6" w:tplc="611A7FA4" w:tentative="1">
      <w:start w:val="1"/>
      <w:numFmt w:val="bullet"/>
      <w:lvlText w:val=""/>
      <w:lvlJc w:val="left"/>
      <w:pPr>
        <w:tabs>
          <w:tab w:val="num" w:pos="5040"/>
        </w:tabs>
        <w:ind w:left="5040" w:hanging="360"/>
      </w:pPr>
      <w:rPr>
        <w:rFonts w:ascii="Wingdings" w:hAnsi="Wingdings" w:hint="default"/>
      </w:rPr>
    </w:lvl>
    <w:lvl w:ilvl="7" w:tplc="19D8FD48" w:tentative="1">
      <w:start w:val="1"/>
      <w:numFmt w:val="bullet"/>
      <w:lvlText w:val=""/>
      <w:lvlJc w:val="left"/>
      <w:pPr>
        <w:tabs>
          <w:tab w:val="num" w:pos="5760"/>
        </w:tabs>
        <w:ind w:left="5760" w:hanging="360"/>
      </w:pPr>
      <w:rPr>
        <w:rFonts w:ascii="Wingdings" w:hAnsi="Wingdings" w:hint="default"/>
      </w:rPr>
    </w:lvl>
    <w:lvl w:ilvl="8" w:tplc="4936FC1A" w:tentative="1">
      <w:start w:val="1"/>
      <w:numFmt w:val="bullet"/>
      <w:lvlText w:val=""/>
      <w:lvlJc w:val="left"/>
      <w:pPr>
        <w:tabs>
          <w:tab w:val="num" w:pos="6480"/>
        </w:tabs>
        <w:ind w:left="6480" w:hanging="360"/>
      </w:pPr>
      <w:rPr>
        <w:rFonts w:ascii="Wingdings" w:hAnsi="Wingdings" w:hint="default"/>
      </w:rPr>
    </w:lvl>
  </w:abstractNum>
  <w:abstractNum w:abstractNumId="9">
    <w:nsid w:val="1C5E7C79"/>
    <w:multiLevelType w:val="hybridMultilevel"/>
    <w:tmpl w:val="C3260C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FE374AB"/>
    <w:multiLevelType w:val="hybridMultilevel"/>
    <w:tmpl w:val="4702848C"/>
    <w:lvl w:ilvl="0" w:tplc="A61282A6">
      <w:start w:val="1"/>
      <w:numFmt w:val="bullet"/>
      <w:lvlText w:val=""/>
      <w:lvlJc w:val="left"/>
      <w:pPr>
        <w:tabs>
          <w:tab w:val="num" w:pos="720"/>
        </w:tabs>
        <w:ind w:left="72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b w:val="0"/>
        <w:sz w:val="22"/>
      </w:rPr>
    </w:lvl>
    <w:lvl w:ilvl="2" w:tplc="FE92AAA8" w:tentative="1">
      <w:start w:val="1"/>
      <w:numFmt w:val="bullet"/>
      <w:lvlText w:val=""/>
      <w:lvlJc w:val="left"/>
      <w:pPr>
        <w:tabs>
          <w:tab w:val="num" w:pos="2160"/>
        </w:tabs>
        <w:ind w:left="2160" w:hanging="360"/>
      </w:pPr>
      <w:rPr>
        <w:rFonts w:ascii="Wingdings" w:hAnsi="Wingdings" w:hint="default"/>
      </w:rPr>
    </w:lvl>
    <w:lvl w:ilvl="3" w:tplc="95CA063E" w:tentative="1">
      <w:start w:val="1"/>
      <w:numFmt w:val="bullet"/>
      <w:lvlText w:val=""/>
      <w:lvlJc w:val="left"/>
      <w:pPr>
        <w:tabs>
          <w:tab w:val="num" w:pos="2880"/>
        </w:tabs>
        <w:ind w:left="2880" w:hanging="360"/>
      </w:pPr>
      <w:rPr>
        <w:rFonts w:ascii="Wingdings" w:hAnsi="Wingdings" w:hint="default"/>
      </w:rPr>
    </w:lvl>
    <w:lvl w:ilvl="4" w:tplc="F23A3DFE" w:tentative="1">
      <w:start w:val="1"/>
      <w:numFmt w:val="bullet"/>
      <w:lvlText w:val=""/>
      <w:lvlJc w:val="left"/>
      <w:pPr>
        <w:tabs>
          <w:tab w:val="num" w:pos="3600"/>
        </w:tabs>
        <w:ind w:left="3600" w:hanging="360"/>
      </w:pPr>
      <w:rPr>
        <w:rFonts w:ascii="Wingdings" w:hAnsi="Wingdings" w:hint="default"/>
      </w:rPr>
    </w:lvl>
    <w:lvl w:ilvl="5" w:tplc="8C52D1E0" w:tentative="1">
      <w:start w:val="1"/>
      <w:numFmt w:val="bullet"/>
      <w:lvlText w:val=""/>
      <w:lvlJc w:val="left"/>
      <w:pPr>
        <w:tabs>
          <w:tab w:val="num" w:pos="4320"/>
        </w:tabs>
        <w:ind w:left="4320" w:hanging="360"/>
      </w:pPr>
      <w:rPr>
        <w:rFonts w:ascii="Wingdings" w:hAnsi="Wingdings" w:hint="default"/>
      </w:rPr>
    </w:lvl>
    <w:lvl w:ilvl="6" w:tplc="32C06C1E" w:tentative="1">
      <w:start w:val="1"/>
      <w:numFmt w:val="bullet"/>
      <w:lvlText w:val=""/>
      <w:lvlJc w:val="left"/>
      <w:pPr>
        <w:tabs>
          <w:tab w:val="num" w:pos="5040"/>
        </w:tabs>
        <w:ind w:left="5040" w:hanging="360"/>
      </w:pPr>
      <w:rPr>
        <w:rFonts w:ascii="Wingdings" w:hAnsi="Wingdings" w:hint="default"/>
      </w:rPr>
    </w:lvl>
    <w:lvl w:ilvl="7" w:tplc="3F3C6D48" w:tentative="1">
      <w:start w:val="1"/>
      <w:numFmt w:val="bullet"/>
      <w:lvlText w:val=""/>
      <w:lvlJc w:val="left"/>
      <w:pPr>
        <w:tabs>
          <w:tab w:val="num" w:pos="5760"/>
        </w:tabs>
        <w:ind w:left="5760" w:hanging="360"/>
      </w:pPr>
      <w:rPr>
        <w:rFonts w:ascii="Wingdings" w:hAnsi="Wingdings" w:hint="default"/>
      </w:rPr>
    </w:lvl>
    <w:lvl w:ilvl="8" w:tplc="C3A4E9E0" w:tentative="1">
      <w:start w:val="1"/>
      <w:numFmt w:val="bullet"/>
      <w:lvlText w:val=""/>
      <w:lvlJc w:val="left"/>
      <w:pPr>
        <w:tabs>
          <w:tab w:val="num" w:pos="6480"/>
        </w:tabs>
        <w:ind w:left="6480" w:hanging="360"/>
      </w:pPr>
      <w:rPr>
        <w:rFonts w:ascii="Wingdings" w:hAnsi="Wingdings" w:hint="default"/>
      </w:rPr>
    </w:lvl>
  </w:abstractNum>
  <w:abstractNum w:abstractNumId="11">
    <w:nsid w:val="20767F56"/>
    <w:multiLevelType w:val="multilevel"/>
    <w:tmpl w:val="6942A6BE"/>
    <w:lvl w:ilvl="0">
      <w:start w:val="1"/>
      <w:numFmt w:val="decimal"/>
      <w:pStyle w:val="List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A872AE"/>
    <w:multiLevelType w:val="hybridMultilevel"/>
    <w:tmpl w:val="BE7AC02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0270FD"/>
    <w:multiLevelType w:val="hybridMultilevel"/>
    <w:tmpl w:val="F594EAB2"/>
    <w:lvl w:ilvl="0" w:tplc="5E5C51DE">
      <w:start w:val="1"/>
      <w:numFmt w:val="bullet"/>
      <w:lvlText w:val=""/>
      <w:lvlJc w:val="left"/>
      <w:pPr>
        <w:tabs>
          <w:tab w:val="num" w:pos="720"/>
        </w:tabs>
        <w:ind w:left="720" w:hanging="360"/>
      </w:pPr>
      <w:rPr>
        <w:rFonts w:ascii="Wingdings" w:hAnsi="Wingdings" w:hint="default"/>
      </w:rPr>
    </w:lvl>
    <w:lvl w:ilvl="1" w:tplc="1F543EA8" w:tentative="1">
      <w:start w:val="1"/>
      <w:numFmt w:val="bullet"/>
      <w:lvlText w:val=""/>
      <w:lvlJc w:val="left"/>
      <w:pPr>
        <w:tabs>
          <w:tab w:val="num" w:pos="1440"/>
        </w:tabs>
        <w:ind w:left="1440" w:hanging="360"/>
      </w:pPr>
      <w:rPr>
        <w:rFonts w:ascii="Wingdings" w:hAnsi="Wingdings" w:hint="default"/>
      </w:rPr>
    </w:lvl>
    <w:lvl w:ilvl="2" w:tplc="0B947F42" w:tentative="1">
      <w:start w:val="1"/>
      <w:numFmt w:val="bullet"/>
      <w:lvlText w:val=""/>
      <w:lvlJc w:val="left"/>
      <w:pPr>
        <w:tabs>
          <w:tab w:val="num" w:pos="2160"/>
        </w:tabs>
        <w:ind w:left="2160" w:hanging="360"/>
      </w:pPr>
      <w:rPr>
        <w:rFonts w:ascii="Wingdings" w:hAnsi="Wingdings" w:hint="default"/>
      </w:rPr>
    </w:lvl>
    <w:lvl w:ilvl="3" w:tplc="AB382268" w:tentative="1">
      <w:start w:val="1"/>
      <w:numFmt w:val="bullet"/>
      <w:lvlText w:val=""/>
      <w:lvlJc w:val="left"/>
      <w:pPr>
        <w:tabs>
          <w:tab w:val="num" w:pos="2880"/>
        </w:tabs>
        <w:ind w:left="2880" w:hanging="360"/>
      </w:pPr>
      <w:rPr>
        <w:rFonts w:ascii="Wingdings" w:hAnsi="Wingdings" w:hint="default"/>
      </w:rPr>
    </w:lvl>
    <w:lvl w:ilvl="4" w:tplc="3C7E1274" w:tentative="1">
      <w:start w:val="1"/>
      <w:numFmt w:val="bullet"/>
      <w:lvlText w:val=""/>
      <w:lvlJc w:val="left"/>
      <w:pPr>
        <w:tabs>
          <w:tab w:val="num" w:pos="3600"/>
        </w:tabs>
        <w:ind w:left="3600" w:hanging="360"/>
      </w:pPr>
      <w:rPr>
        <w:rFonts w:ascii="Wingdings" w:hAnsi="Wingdings" w:hint="default"/>
      </w:rPr>
    </w:lvl>
    <w:lvl w:ilvl="5" w:tplc="41AA74E4" w:tentative="1">
      <w:start w:val="1"/>
      <w:numFmt w:val="bullet"/>
      <w:lvlText w:val=""/>
      <w:lvlJc w:val="left"/>
      <w:pPr>
        <w:tabs>
          <w:tab w:val="num" w:pos="4320"/>
        </w:tabs>
        <w:ind w:left="4320" w:hanging="360"/>
      </w:pPr>
      <w:rPr>
        <w:rFonts w:ascii="Wingdings" w:hAnsi="Wingdings" w:hint="default"/>
      </w:rPr>
    </w:lvl>
    <w:lvl w:ilvl="6" w:tplc="EF1C8602" w:tentative="1">
      <w:start w:val="1"/>
      <w:numFmt w:val="bullet"/>
      <w:lvlText w:val=""/>
      <w:lvlJc w:val="left"/>
      <w:pPr>
        <w:tabs>
          <w:tab w:val="num" w:pos="5040"/>
        </w:tabs>
        <w:ind w:left="5040" w:hanging="360"/>
      </w:pPr>
      <w:rPr>
        <w:rFonts w:ascii="Wingdings" w:hAnsi="Wingdings" w:hint="default"/>
      </w:rPr>
    </w:lvl>
    <w:lvl w:ilvl="7" w:tplc="94E2243C" w:tentative="1">
      <w:start w:val="1"/>
      <w:numFmt w:val="bullet"/>
      <w:lvlText w:val=""/>
      <w:lvlJc w:val="left"/>
      <w:pPr>
        <w:tabs>
          <w:tab w:val="num" w:pos="5760"/>
        </w:tabs>
        <w:ind w:left="5760" w:hanging="360"/>
      </w:pPr>
      <w:rPr>
        <w:rFonts w:ascii="Wingdings" w:hAnsi="Wingdings" w:hint="default"/>
      </w:rPr>
    </w:lvl>
    <w:lvl w:ilvl="8" w:tplc="9AC86C78" w:tentative="1">
      <w:start w:val="1"/>
      <w:numFmt w:val="bullet"/>
      <w:lvlText w:val=""/>
      <w:lvlJc w:val="left"/>
      <w:pPr>
        <w:tabs>
          <w:tab w:val="num" w:pos="6480"/>
        </w:tabs>
        <w:ind w:left="6480" w:hanging="360"/>
      </w:pPr>
      <w:rPr>
        <w:rFonts w:ascii="Wingdings" w:hAnsi="Wingdings" w:hint="default"/>
      </w:rPr>
    </w:lvl>
  </w:abstractNum>
  <w:abstractNum w:abstractNumId="14">
    <w:nsid w:val="2F6B4894"/>
    <w:multiLevelType w:val="hybridMultilevel"/>
    <w:tmpl w:val="3D6E35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B0D3277"/>
    <w:multiLevelType w:val="hybridMultilevel"/>
    <w:tmpl w:val="5AEEEE2A"/>
    <w:lvl w:ilvl="0" w:tplc="4900E002">
      <w:start w:val="1"/>
      <w:numFmt w:val="bullet"/>
      <w:lvlText w:val=""/>
      <w:lvlJc w:val="left"/>
      <w:pPr>
        <w:tabs>
          <w:tab w:val="num" w:pos="720"/>
        </w:tabs>
        <w:ind w:left="720" w:hanging="360"/>
      </w:pPr>
      <w:rPr>
        <w:rFonts w:ascii="Wingdings" w:hAnsi="Wingdings" w:hint="default"/>
      </w:rPr>
    </w:lvl>
    <w:lvl w:ilvl="1" w:tplc="69A079F2" w:tentative="1">
      <w:start w:val="1"/>
      <w:numFmt w:val="bullet"/>
      <w:lvlText w:val=""/>
      <w:lvlJc w:val="left"/>
      <w:pPr>
        <w:tabs>
          <w:tab w:val="num" w:pos="1440"/>
        </w:tabs>
        <w:ind w:left="1440" w:hanging="360"/>
      </w:pPr>
      <w:rPr>
        <w:rFonts w:ascii="Wingdings" w:hAnsi="Wingdings" w:hint="default"/>
      </w:rPr>
    </w:lvl>
    <w:lvl w:ilvl="2" w:tplc="9C366682" w:tentative="1">
      <w:start w:val="1"/>
      <w:numFmt w:val="bullet"/>
      <w:lvlText w:val=""/>
      <w:lvlJc w:val="left"/>
      <w:pPr>
        <w:tabs>
          <w:tab w:val="num" w:pos="2160"/>
        </w:tabs>
        <w:ind w:left="2160" w:hanging="360"/>
      </w:pPr>
      <w:rPr>
        <w:rFonts w:ascii="Wingdings" w:hAnsi="Wingdings" w:hint="default"/>
      </w:rPr>
    </w:lvl>
    <w:lvl w:ilvl="3" w:tplc="04F69F60" w:tentative="1">
      <w:start w:val="1"/>
      <w:numFmt w:val="bullet"/>
      <w:lvlText w:val=""/>
      <w:lvlJc w:val="left"/>
      <w:pPr>
        <w:tabs>
          <w:tab w:val="num" w:pos="2880"/>
        </w:tabs>
        <w:ind w:left="2880" w:hanging="360"/>
      </w:pPr>
      <w:rPr>
        <w:rFonts w:ascii="Wingdings" w:hAnsi="Wingdings" w:hint="default"/>
      </w:rPr>
    </w:lvl>
    <w:lvl w:ilvl="4" w:tplc="8E200620" w:tentative="1">
      <w:start w:val="1"/>
      <w:numFmt w:val="bullet"/>
      <w:lvlText w:val=""/>
      <w:lvlJc w:val="left"/>
      <w:pPr>
        <w:tabs>
          <w:tab w:val="num" w:pos="3600"/>
        </w:tabs>
        <w:ind w:left="3600" w:hanging="360"/>
      </w:pPr>
      <w:rPr>
        <w:rFonts w:ascii="Wingdings" w:hAnsi="Wingdings" w:hint="default"/>
      </w:rPr>
    </w:lvl>
    <w:lvl w:ilvl="5" w:tplc="3D8EFDE6" w:tentative="1">
      <w:start w:val="1"/>
      <w:numFmt w:val="bullet"/>
      <w:lvlText w:val=""/>
      <w:lvlJc w:val="left"/>
      <w:pPr>
        <w:tabs>
          <w:tab w:val="num" w:pos="4320"/>
        </w:tabs>
        <w:ind w:left="4320" w:hanging="360"/>
      </w:pPr>
      <w:rPr>
        <w:rFonts w:ascii="Wingdings" w:hAnsi="Wingdings" w:hint="default"/>
      </w:rPr>
    </w:lvl>
    <w:lvl w:ilvl="6" w:tplc="146A6CF2" w:tentative="1">
      <w:start w:val="1"/>
      <w:numFmt w:val="bullet"/>
      <w:lvlText w:val=""/>
      <w:lvlJc w:val="left"/>
      <w:pPr>
        <w:tabs>
          <w:tab w:val="num" w:pos="5040"/>
        </w:tabs>
        <w:ind w:left="5040" w:hanging="360"/>
      </w:pPr>
      <w:rPr>
        <w:rFonts w:ascii="Wingdings" w:hAnsi="Wingdings" w:hint="default"/>
      </w:rPr>
    </w:lvl>
    <w:lvl w:ilvl="7" w:tplc="17BAB288" w:tentative="1">
      <w:start w:val="1"/>
      <w:numFmt w:val="bullet"/>
      <w:lvlText w:val=""/>
      <w:lvlJc w:val="left"/>
      <w:pPr>
        <w:tabs>
          <w:tab w:val="num" w:pos="5760"/>
        </w:tabs>
        <w:ind w:left="5760" w:hanging="360"/>
      </w:pPr>
      <w:rPr>
        <w:rFonts w:ascii="Wingdings" w:hAnsi="Wingdings" w:hint="default"/>
      </w:rPr>
    </w:lvl>
    <w:lvl w:ilvl="8" w:tplc="A014CFB6" w:tentative="1">
      <w:start w:val="1"/>
      <w:numFmt w:val="bullet"/>
      <w:lvlText w:val=""/>
      <w:lvlJc w:val="left"/>
      <w:pPr>
        <w:tabs>
          <w:tab w:val="num" w:pos="6480"/>
        </w:tabs>
        <w:ind w:left="6480" w:hanging="360"/>
      </w:pPr>
      <w:rPr>
        <w:rFonts w:ascii="Wingdings" w:hAnsi="Wingdings" w:hint="default"/>
      </w:rPr>
    </w:lvl>
  </w:abstractNum>
  <w:abstractNum w:abstractNumId="17">
    <w:nsid w:val="41D54E5D"/>
    <w:multiLevelType w:val="hybridMultilevel"/>
    <w:tmpl w:val="0492C9E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777586"/>
    <w:multiLevelType w:val="hybridMultilevel"/>
    <w:tmpl w:val="EA0C910E"/>
    <w:lvl w:ilvl="0" w:tplc="04050005">
      <w:start w:val="1"/>
      <w:numFmt w:val="bullet"/>
      <w:lvlText w:val=""/>
      <w:lvlJc w:val="left"/>
      <w:pPr>
        <w:ind w:left="720" w:hanging="360"/>
      </w:pPr>
      <w:rPr>
        <w:rFonts w:ascii="Wingdings" w:hAnsi="Wingdings" w:hint="default"/>
      </w:rPr>
    </w:lvl>
    <w:lvl w:ilvl="1" w:tplc="B04C07C8">
      <w:start w:val="6"/>
      <w:numFmt w:val="bullet"/>
      <w:lvlText w:val="-"/>
      <w:lvlJc w:val="left"/>
      <w:pPr>
        <w:ind w:left="1440" w:hanging="360"/>
      </w:pPr>
      <w:rPr>
        <w:rFonts w:ascii="Times New Roman" w:eastAsia="Arial Unicode MS" w:hAnsi="Times New Roman" w:cs="Times New Roman" w:hint="default"/>
        <w:b w:val="0"/>
        <w:sz w:val="22"/>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6C23F5C"/>
    <w:multiLevelType w:val="hybridMultilevel"/>
    <w:tmpl w:val="D9762D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251E5E"/>
    <w:multiLevelType w:val="hybridMultilevel"/>
    <w:tmpl w:val="88FA41A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AD3012"/>
    <w:multiLevelType w:val="hybridMultilevel"/>
    <w:tmpl w:val="A5DC6E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28D2DB2"/>
    <w:multiLevelType w:val="hybridMultilevel"/>
    <w:tmpl w:val="71983CEC"/>
    <w:lvl w:ilvl="0" w:tplc="969080CC">
      <w:start w:val="1"/>
      <w:numFmt w:val="bullet"/>
      <w:lvlText w:val=""/>
      <w:lvlJc w:val="left"/>
      <w:pPr>
        <w:tabs>
          <w:tab w:val="num" w:pos="720"/>
        </w:tabs>
        <w:ind w:left="720" w:hanging="360"/>
      </w:pPr>
      <w:rPr>
        <w:rFonts w:ascii="Wingdings" w:hAnsi="Wingdings" w:hint="default"/>
      </w:rPr>
    </w:lvl>
    <w:lvl w:ilvl="1" w:tplc="BB121C5C" w:tentative="1">
      <w:start w:val="1"/>
      <w:numFmt w:val="bullet"/>
      <w:lvlText w:val=""/>
      <w:lvlJc w:val="left"/>
      <w:pPr>
        <w:tabs>
          <w:tab w:val="num" w:pos="1440"/>
        </w:tabs>
        <w:ind w:left="1440" w:hanging="360"/>
      </w:pPr>
      <w:rPr>
        <w:rFonts w:ascii="Wingdings" w:hAnsi="Wingdings" w:hint="default"/>
      </w:rPr>
    </w:lvl>
    <w:lvl w:ilvl="2" w:tplc="76FE7F4E" w:tentative="1">
      <w:start w:val="1"/>
      <w:numFmt w:val="bullet"/>
      <w:lvlText w:val=""/>
      <w:lvlJc w:val="left"/>
      <w:pPr>
        <w:tabs>
          <w:tab w:val="num" w:pos="2160"/>
        </w:tabs>
        <w:ind w:left="2160" w:hanging="360"/>
      </w:pPr>
      <w:rPr>
        <w:rFonts w:ascii="Wingdings" w:hAnsi="Wingdings" w:hint="default"/>
      </w:rPr>
    </w:lvl>
    <w:lvl w:ilvl="3" w:tplc="3F561C40" w:tentative="1">
      <w:start w:val="1"/>
      <w:numFmt w:val="bullet"/>
      <w:lvlText w:val=""/>
      <w:lvlJc w:val="left"/>
      <w:pPr>
        <w:tabs>
          <w:tab w:val="num" w:pos="2880"/>
        </w:tabs>
        <w:ind w:left="2880" w:hanging="360"/>
      </w:pPr>
      <w:rPr>
        <w:rFonts w:ascii="Wingdings" w:hAnsi="Wingdings" w:hint="default"/>
      </w:rPr>
    </w:lvl>
    <w:lvl w:ilvl="4" w:tplc="0CCA1798" w:tentative="1">
      <w:start w:val="1"/>
      <w:numFmt w:val="bullet"/>
      <w:lvlText w:val=""/>
      <w:lvlJc w:val="left"/>
      <w:pPr>
        <w:tabs>
          <w:tab w:val="num" w:pos="3600"/>
        </w:tabs>
        <w:ind w:left="3600" w:hanging="360"/>
      </w:pPr>
      <w:rPr>
        <w:rFonts w:ascii="Wingdings" w:hAnsi="Wingdings" w:hint="default"/>
      </w:rPr>
    </w:lvl>
    <w:lvl w:ilvl="5" w:tplc="89BEDC56" w:tentative="1">
      <w:start w:val="1"/>
      <w:numFmt w:val="bullet"/>
      <w:lvlText w:val=""/>
      <w:lvlJc w:val="left"/>
      <w:pPr>
        <w:tabs>
          <w:tab w:val="num" w:pos="4320"/>
        </w:tabs>
        <w:ind w:left="4320" w:hanging="360"/>
      </w:pPr>
      <w:rPr>
        <w:rFonts w:ascii="Wingdings" w:hAnsi="Wingdings" w:hint="default"/>
      </w:rPr>
    </w:lvl>
    <w:lvl w:ilvl="6" w:tplc="5B6EFA92" w:tentative="1">
      <w:start w:val="1"/>
      <w:numFmt w:val="bullet"/>
      <w:lvlText w:val=""/>
      <w:lvlJc w:val="left"/>
      <w:pPr>
        <w:tabs>
          <w:tab w:val="num" w:pos="5040"/>
        </w:tabs>
        <w:ind w:left="5040" w:hanging="360"/>
      </w:pPr>
      <w:rPr>
        <w:rFonts w:ascii="Wingdings" w:hAnsi="Wingdings" w:hint="default"/>
      </w:rPr>
    </w:lvl>
    <w:lvl w:ilvl="7" w:tplc="754C7394" w:tentative="1">
      <w:start w:val="1"/>
      <w:numFmt w:val="bullet"/>
      <w:lvlText w:val=""/>
      <w:lvlJc w:val="left"/>
      <w:pPr>
        <w:tabs>
          <w:tab w:val="num" w:pos="5760"/>
        </w:tabs>
        <w:ind w:left="5760" w:hanging="360"/>
      </w:pPr>
      <w:rPr>
        <w:rFonts w:ascii="Wingdings" w:hAnsi="Wingdings" w:hint="default"/>
      </w:rPr>
    </w:lvl>
    <w:lvl w:ilvl="8" w:tplc="5B681A1C" w:tentative="1">
      <w:start w:val="1"/>
      <w:numFmt w:val="bullet"/>
      <w:lvlText w:val=""/>
      <w:lvlJc w:val="left"/>
      <w:pPr>
        <w:tabs>
          <w:tab w:val="num" w:pos="6480"/>
        </w:tabs>
        <w:ind w:left="6480" w:hanging="360"/>
      </w:pPr>
      <w:rPr>
        <w:rFonts w:ascii="Wingdings" w:hAnsi="Wingdings" w:hint="default"/>
      </w:rPr>
    </w:lvl>
  </w:abstractNum>
  <w:abstractNum w:abstractNumId="23">
    <w:nsid w:val="53925DA9"/>
    <w:multiLevelType w:val="hybridMultilevel"/>
    <w:tmpl w:val="6FE8842E"/>
    <w:lvl w:ilvl="0" w:tplc="C002B8A6">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550C07A8"/>
    <w:multiLevelType w:val="hybridMultilevel"/>
    <w:tmpl w:val="B212CC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B0B7DED"/>
    <w:multiLevelType w:val="hybridMultilevel"/>
    <w:tmpl w:val="7C461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5E1C2D82"/>
    <w:multiLevelType w:val="hybridMultilevel"/>
    <w:tmpl w:val="3586B84C"/>
    <w:lvl w:ilvl="0" w:tplc="BB16E376">
      <w:start w:val="1"/>
      <w:numFmt w:val="bullet"/>
      <w:lvlText w:val=""/>
      <w:lvlJc w:val="left"/>
      <w:pPr>
        <w:tabs>
          <w:tab w:val="num" w:pos="720"/>
        </w:tabs>
        <w:ind w:left="720" w:hanging="360"/>
      </w:pPr>
      <w:rPr>
        <w:rFonts w:ascii="Wingdings" w:hAnsi="Wingdings" w:hint="default"/>
      </w:rPr>
    </w:lvl>
    <w:lvl w:ilvl="1" w:tplc="C4D6E7E0" w:tentative="1">
      <w:start w:val="1"/>
      <w:numFmt w:val="bullet"/>
      <w:lvlText w:val=""/>
      <w:lvlJc w:val="left"/>
      <w:pPr>
        <w:tabs>
          <w:tab w:val="num" w:pos="1440"/>
        </w:tabs>
        <w:ind w:left="1440" w:hanging="360"/>
      </w:pPr>
      <w:rPr>
        <w:rFonts w:ascii="Wingdings" w:hAnsi="Wingdings" w:hint="default"/>
      </w:rPr>
    </w:lvl>
    <w:lvl w:ilvl="2" w:tplc="3A7E75CE" w:tentative="1">
      <w:start w:val="1"/>
      <w:numFmt w:val="bullet"/>
      <w:lvlText w:val=""/>
      <w:lvlJc w:val="left"/>
      <w:pPr>
        <w:tabs>
          <w:tab w:val="num" w:pos="2160"/>
        </w:tabs>
        <w:ind w:left="2160" w:hanging="360"/>
      </w:pPr>
      <w:rPr>
        <w:rFonts w:ascii="Wingdings" w:hAnsi="Wingdings" w:hint="default"/>
      </w:rPr>
    </w:lvl>
    <w:lvl w:ilvl="3" w:tplc="05525D12" w:tentative="1">
      <w:start w:val="1"/>
      <w:numFmt w:val="bullet"/>
      <w:lvlText w:val=""/>
      <w:lvlJc w:val="left"/>
      <w:pPr>
        <w:tabs>
          <w:tab w:val="num" w:pos="2880"/>
        </w:tabs>
        <w:ind w:left="2880" w:hanging="360"/>
      </w:pPr>
      <w:rPr>
        <w:rFonts w:ascii="Wingdings" w:hAnsi="Wingdings" w:hint="default"/>
      </w:rPr>
    </w:lvl>
    <w:lvl w:ilvl="4" w:tplc="D40C8DA4" w:tentative="1">
      <w:start w:val="1"/>
      <w:numFmt w:val="bullet"/>
      <w:lvlText w:val=""/>
      <w:lvlJc w:val="left"/>
      <w:pPr>
        <w:tabs>
          <w:tab w:val="num" w:pos="3600"/>
        </w:tabs>
        <w:ind w:left="3600" w:hanging="360"/>
      </w:pPr>
      <w:rPr>
        <w:rFonts w:ascii="Wingdings" w:hAnsi="Wingdings" w:hint="default"/>
      </w:rPr>
    </w:lvl>
    <w:lvl w:ilvl="5" w:tplc="3C7A73E6" w:tentative="1">
      <w:start w:val="1"/>
      <w:numFmt w:val="bullet"/>
      <w:lvlText w:val=""/>
      <w:lvlJc w:val="left"/>
      <w:pPr>
        <w:tabs>
          <w:tab w:val="num" w:pos="4320"/>
        </w:tabs>
        <w:ind w:left="4320" w:hanging="360"/>
      </w:pPr>
      <w:rPr>
        <w:rFonts w:ascii="Wingdings" w:hAnsi="Wingdings" w:hint="default"/>
      </w:rPr>
    </w:lvl>
    <w:lvl w:ilvl="6" w:tplc="C2A01786" w:tentative="1">
      <w:start w:val="1"/>
      <w:numFmt w:val="bullet"/>
      <w:lvlText w:val=""/>
      <w:lvlJc w:val="left"/>
      <w:pPr>
        <w:tabs>
          <w:tab w:val="num" w:pos="5040"/>
        </w:tabs>
        <w:ind w:left="5040" w:hanging="360"/>
      </w:pPr>
      <w:rPr>
        <w:rFonts w:ascii="Wingdings" w:hAnsi="Wingdings" w:hint="default"/>
      </w:rPr>
    </w:lvl>
    <w:lvl w:ilvl="7" w:tplc="DD14E394" w:tentative="1">
      <w:start w:val="1"/>
      <w:numFmt w:val="bullet"/>
      <w:lvlText w:val=""/>
      <w:lvlJc w:val="left"/>
      <w:pPr>
        <w:tabs>
          <w:tab w:val="num" w:pos="5760"/>
        </w:tabs>
        <w:ind w:left="5760" w:hanging="360"/>
      </w:pPr>
      <w:rPr>
        <w:rFonts w:ascii="Wingdings" w:hAnsi="Wingdings" w:hint="default"/>
      </w:rPr>
    </w:lvl>
    <w:lvl w:ilvl="8" w:tplc="4D426AEE" w:tentative="1">
      <w:start w:val="1"/>
      <w:numFmt w:val="bullet"/>
      <w:lvlText w:val=""/>
      <w:lvlJc w:val="left"/>
      <w:pPr>
        <w:tabs>
          <w:tab w:val="num" w:pos="6480"/>
        </w:tabs>
        <w:ind w:left="6480" w:hanging="360"/>
      </w:pPr>
      <w:rPr>
        <w:rFonts w:ascii="Wingdings" w:hAnsi="Wingdings" w:hint="default"/>
      </w:rPr>
    </w:lvl>
  </w:abstractNum>
  <w:abstractNum w:abstractNumId="27">
    <w:nsid w:val="68350017"/>
    <w:multiLevelType w:val="hybridMultilevel"/>
    <w:tmpl w:val="5A0278B2"/>
    <w:lvl w:ilvl="0" w:tplc="C83E8E6A">
      <w:start w:val="1"/>
      <w:numFmt w:val="bullet"/>
      <w:lvlText w:val=""/>
      <w:lvlJc w:val="left"/>
      <w:pPr>
        <w:tabs>
          <w:tab w:val="num" w:pos="785"/>
        </w:tabs>
        <w:ind w:left="785" w:hanging="360"/>
      </w:pPr>
      <w:rPr>
        <w:rFonts w:ascii="Wingdings" w:hAnsi="Wingdings" w:hint="default"/>
      </w:rPr>
    </w:lvl>
    <w:lvl w:ilvl="1" w:tplc="051A29DA" w:tentative="1">
      <w:start w:val="1"/>
      <w:numFmt w:val="bullet"/>
      <w:lvlText w:val=""/>
      <w:lvlJc w:val="left"/>
      <w:pPr>
        <w:tabs>
          <w:tab w:val="num" w:pos="1505"/>
        </w:tabs>
        <w:ind w:left="1505" w:hanging="360"/>
      </w:pPr>
      <w:rPr>
        <w:rFonts w:ascii="Wingdings" w:hAnsi="Wingdings" w:hint="default"/>
      </w:rPr>
    </w:lvl>
    <w:lvl w:ilvl="2" w:tplc="12361C5E" w:tentative="1">
      <w:start w:val="1"/>
      <w:numFmt w:val="bullet"/>
      <w:lvlText w:val=""/>
      <w:lvlJc w:val="left"/>
      <w:pPr>
        <w:tabs>
          <w:tab w:val="num" w:pos="2225"/>
        </w:tabs>
        <w:ind w:left="2225" w:hanging="360"/>
      </w:pPr>
      <w:rPr>
        <w:rFonts w:ascii="Wingdings" w:hAnsi="Wingdings" w:hint="default"/>
      </w:rPr>
    </w:lvl>
    <w:lvl w:ilvl="3" w:tplc="AB06A6AA" w:tentative="1">
      <w:start w:val="1"/>
      <w:numFmt w:val="bullet"/>
      <w:lvlText w:val=""/>
      <w:lvlJc w:val="left"/>
      <w:pPr>
        <w:tabs>
          <w:tab w:val="num" w:pos="2945"/>
        </w:tabs>
        <w:ind w:left="2945" w:hanging="360"/>
      </w:pPr>
      <w:rPr>
        <w:rFonts w:ascii="Wingdings" w:hAnsi="Wingdings" w:hint="default"/>
      </w:rPr>
    </w:lvl>
    <w:lvl w:ilvl="4" w:tplc="3D6EF7FE" w:tentative="1">
      <w:start w:val="1"/>
      <w:numFmt w:val="bullet"/>
      <w:lvlText w:val=""/>
      <w:lvlJc w:val="left"/>
      <w:pPr>
        <w:tabs>
          <w:tab w:val="num" w:pos="3665"/>
        </w:tabs>
        <w:ind w:left="3665" w:hanging="360"/>
      </w:pPr>
      <w:rPr>
        <w:rFonts w:ascii="Wingdings" w:hAnsi="Wingdings" w:hint="default"/>
      </w:rPr>
    </w:lvl>
    <w:lvl w:ilvl="5" w:tplc="5A9A4860" w:tentative="1">
      <w:start w:val="1"/>
      <w:numFmt w:val="bullet"/>
      <w:lvlText w:val=""/>
      <w:lvlJc w:val="left"/>
      <w:pPr>
        <w:tabs>
          <w:tab w:val="num" w:pos="4385"/>
        </w:tabs>
        <w:ind w:left="4385" w:hanging="360"/>
      </w:pPr>
      <w:rPr>
        <w:rFonts w:ascii="Wingdings" w:hAnsi="Wingdings" w:hint="default"/>
      </w:rPr>
    </w:lvl>
    <w:lvl w:ilvl="6" w:tplc="F502CE18" w:tentative="1">
      <w:start w:val="1"/>
      <w:numFmt w:val="bullet"/>
      <w:lvlText w:val=""/>
      <w:lvlJc w:val="left"/>
      <w:pPr>
        <w:tabs>
          <w:tab w:val="num" w:pos="5105"/>
        </w:tabs>
        <w:ind w:left="5105" w:hanging="360"/>
      </w:pPr>
      <w:rPr>
        <w:rFonts w:ascii="Wingdings" w:hAnsi="Wingdings" w:hint="default"/>
      </w:rPr>
    </w:lvl>
    <w:lvl w:ilvl="7" w:tplc="ECCE1876" w:tentative="1">
      <w:start w:val="1"/>
      <w:numFmt w:val="bullet"/>
      <w:lvlText w:val=""/>
      <w:lvlJc w:val="left"/>
      <w:pPr>
        <w:tabs>
          <w:tab w:val="num" w:pos="5825"/>
        </w:tabs>
        <w:ind w:left="5825" w:hanging="360"/>
      </w:pPr>
      <w:rPr>
        <w:rFonts w:ascii="Wingdings" w:hAnsi="Wingdings" w:hint="default"/>
      </w:rPr>
    </w:lvl>
    <w:lvl w:ilvl="8" w:tplc="BE30A756" w:tentative="1">
      <w:start w:val="1"/>
      <w:numFmt w:val="bullet"/>
      <w:lvlText w:val=""/>
      <w:lvlJc w:val="left"/>
      <w:pPr>
        <w:tabs>
          <w:tab w:val="num" w:pos="6545"/>
        </w:tabs>
        <w:ind w:left="6545" w:hanging="360"/>
      </w:pPr>
      <w:rPr>
        <w:rFonts w:ascii="Wingdings" w:hAnsi="Wingdings" w:hint="default"/>
      </w:rPr>
    </w:lvl>
  </w:abstractNum>
  <w:abstractNum w:abstractNumId="28">
    <w:nsid w:val="6EBD25E3"/>
    <w:multiLevelType w:val="multilevel"/>
    <w:tmpl w:val="471EB360"/>
    <w:styleLink w:val="List1"/>
    <w:lvl w:ilvl="0">
      <w:start w:val="1"/>
      <w:numFmt w:val="decimal"/>
      <w:lvlText w:val="%1)"/>
      <w:lvlJc w:val="left"/>
      <w:pPr>
        <w:tabs>
          <w:tab w:val="num" w:pos="425"/>
        </w:tabs>
        <w:ind w:left="425" w:hanging="357"/>
      </w:pPr>
      <w:rPr>
        <w:position w:val="0"/>
        <w:sz w:val="22"/>
        <w:szCs w:val="22"/>
      </w:rPr>
    </w:lvl>
    <w:lvl w:ilvl="1">
      <w:start w:val="1"/>
      <w:numFmt w:val="bullet"/>
      <w:lvlText w:val="•"/>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9">
    <w:nsid w:val="708901B2"/>
    <w:multiLevelType w:val="hybridMultilevel"/>
    <w:tmpl w:val="8D7A0EC4"/>
    <w:lvl w:ilvl="0" w:tplc="E3360D04">
      <w:start w:val="1"/>
      <w:numFmt w:val="bullet"/>
      <w:lvlText w:val="•"/>
      <w:lvlJc w:val="left"/>
      <w:pPr>
        <w:tabs>
          <w:tab w:val="num" w:pos="720"/>
        </w:tabs>
        <w:ind w:left="720" w:hanging="360"/>
      </w:pPr>
      <w:rPr>
        <w:rFonts w:ascii="Arial" w:hAnsi="Arial" w:hint="default"/>
      </w:rPr>
    </w:lvl>
    <w:lvl w:ilvl="1" w:tplc="B992A458">
      <w:start w:val="1"/>
      <w:numFmt w:val="bullet"/>
      <w:lvlText w:val="•"/>
      <w:lvlJc w:val="left"/>
      <w:pPr>
        <w:tabs>
          <w:tab w:val="num" w:pos="1440"/>
        </w:tabs>
        <w:ind w:left="1440" w:hanging="360"/>
      </w:pPr>
      <w:rPr>
        <w:rFonts w:ascii="Arial" w:hAnsi="Arial" w:hint="default"/>
      </w:rPr>
    </w:lvl>
    <w:lvl w:ilvl="2" w:tplc="58BCB068" w:tentative="1">
      <w:start w:val="1"/>
      <w:numFmt w:val="bullet"/>
      <w:lvlText w:val="•"/>
      <w:lvlJc w:val="left"/>
      <w:pPr>
        <w:tabs>
          <w:tab w:val="num" w:pos="2160"/>
        </w:tabs>
        <w:ind w:left="2160" w:hanging="360"/>
      </w:pPr>
      <w:rPr>
        <w:rFonts w:ascii="Arial" w:hAnsi="Arial" w:hint="default"/>
      </w:rPr>
    </w:lvl>
    <w:lvl w:ilvl="3" w:tplc="0BE222FC" w:tentative="1">
      <w:start w:val="1"/>
      <w:numFmt w:val="bullet"/>
      <w:lvlText w:val="•"/>
      <w:lvlJc w:val="left"/>
      <w:pPr>
        <w:tabs>
          <w:tab w:val="num" w:pos="2880"/>
        </w:tabs>
        <w:ind w:left="2880" w:hanging="360"/>
      </w:pPr>
      <w:rPr>
        <w:rFonts w:ascii="Arial" w:hAnsi="Arial" w:hint="default"/>
      </w:rPr>
    </w:lvl>
    <w:lvl w:ilvl="4" w:tplc="A5680104" w:tentative="1">
      <w:start w:val="1"/>
      <w:numFmt w:val="bullet"/>
      <w:lvlText w:val="•"/>
      <w:lvlJc w:val="left"/>
      <w:pPr>
        <w:tabs>
          <w:tab w:val="num" w:pos="3600"/>
        </w:tabs>
        <w:ind w:left="3600" w:hanging="360"/>
      </w:pPr>
      <w:rPr>
        <w:rFonts w:ascii="Arial" w:hAnsi="Arial" w:hint="default"/>
      </w:rPr>
    </w:lvl>
    <w:lvl w:ilvl="5" w:tplc="42BCAF88" w:tentative="1">
      <w:start w:val="1"/>
      <w:numFmt w:val="bullet"/>
      <w:lvlText w:val="•"/>
      <w:lvlJc w:val="left"/>
      <w:pPr>
        <w:tabs>
          <w:tab w:val="num" w:pos="4320"/>
        </w:tabs>
        <w:ind w:left="4320" w:hanging="360"/>
      </w:pPr>
      <w:rPr>
        <w:rFonts w:ascii="Arial" w:hAnsi="Arial" w:hint="default"/>
      </w:rPr>
    </w:lvl>
    <w:lvl w:ilvl="6" w:tplc="821C1508" w:tentative="1">
      <w:start w:val="1"/>
      <w:numFmt w:val="bullet"/>
      <w:lvlText w:val="•"/>
      <w:lvlJc w:val="left"/>
      <w:pPr>
        <w:tabs>
          <w:tab w:val="num" w:pos="5040"/>
        </w:tabs>
        <w:ind w:left="5040" w:hanging="360"/>
      </w:pPr>
      <w:rPr>
        <w:rFonts w:ascii="Arial" w:hAnsi="Arial" w:hint="default"/>
      </w:rPr>
    </w:lvl>
    <w:lvl w:ilvl="7" w:tplc="575E3BD2" w:tentative="1">
      <w:start w:val="1"/>
      <w:numFmt w:val="bullet"/>
      <w:lvlText w:val="•"/>
      <w:lvlJc w:val="left"/>
      <w:pPr>
        <w:tabs>
          <w:tab w:val="num" w:pos="5760"/>
        </w:tabs>
        <w:ind w:left="5760" w:hanging="360"/>
      </w:pPr>
      <w:rPr>
        <w:rFonts w:ascii="Arial" w:hAnsi="Arial" w:hint="default"/>
      </w:rPr>
    </w:lvl>
    <w:lvl w:ilvl="8" w:tplc="3C702240" w:tentative="1">
      <w:start w:val="1"/>
      <w:numFmt w:val="bullet"/>
      <w:lvlText w:val="•"/>
      <w:lvlJc w:val="left"/>
      <w:pPr>
        <w:tabs>
          <w:tab w:val="num" w:pos="6480"/>
        </w:tabs>
        <w:ind w:left="6480" w:hanging="360"/>
      </w:pPr>
      <w:rPr>
        <w:rFonts w:ascii="Arial" w:hAnsi="Arial" w:hint="default"/>
      </w:rPr>
    </w:lvl>
  </w:abstractNum>
  <w:abstractNum w:abstractNumId="30">
    <w:nsid w:val="73F01B2E"/>
    <w:multiLevelType w:val="hybridMultilevel"/>
    <w:tmpl w:val="E5162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5E63DFF"/>
    <w:multiLevelType w:val="hybridMultilevel"/>
    <w:tmpl w:val="3B00E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D9D43CB"/>
    <w:multiLevelType w:val="hybridMultilevel"/>
    <w:tmpl w:val="25E4E11C"/>
    <w:lvl w:ilvl="0" w:tplc="7BE230F4">
      <w:start w:val="1"/>
      <w:numFmt w:val="bullet"/>
      <w:lvlText w:val=""/>
      <w:lvlJc w:val="left"/>
      <w:pPr>
        <w:tabs>
          <w:tab w:val="num" w:pos="720"/>
        </w:tabs>
        <w:ind w:left="720" w:hanging="360"/>
      </w:pPr>
      <w:rPr>
        <w:rFonts w:ascii="Wingdings" w:hAnsi="Wingdings" w:hint="default"/>
      </w:rPr>
    </w:lvl>
    <w:lvl w:ilvl="1" w:tplc="4AB42EC4" w:tentative="1">
      <w:start w:val="1"/>
      <w:numFmt w:val="bullet"/>
      <w:lvlText w:val=""/>
      <w:lvlJc w:val="left"/>
      <w:pPr>
        <w:tabs>
          <w:tab w:val="num" w:pos="1440"/>
        </w:tabs>
        <w:ind w:left="1440" w:hanging="360"/>
      </w:pPr>
      <w:rPr>
        <w:rFonts w:ascii="Wingdings" w:hAnsi="Wingdings" w:hint="default"/>
      </w:rPr>
    </w:lvl>
    <w:lvl w:ilvl="2" w:tplc="7E087560" w:tentative="1">
      <w:start w:val="1"/>
      <w:numFmt w:val="bullet"/>
      <w:lvlText w:val=""/>
      <w:lvlJc w:val="left"/>
      <w:pPr>
        <w:tabs>
          <w:tab w:val="num" w:pos="2160"/>
        </w:tabs>
        <w:ind w:left="2160" w:hanging="360"/>
      </w:pPr>
      <w:rPr>
        <w:rFonts w:ascii="Wingdings" w:hAnsi="Wingdings" w:hint="default"/>
      </w:rPr>
    </w:lvl>
    <w:lvl w:ilvl="3" w:tplc="41A85AB0" w:tentative="1">
      <w:start w:val="1"/>
      <w:numFmt w:val="bullet"/>
      <w:lvlText w:val=""/>
      <w:lvlJc w:val="left"/>
      <w:pPr>
        <w:tabs>
          <w:tab w:val="num" w:pos="2880"/>
        </w:tabs>
        <w:ind w:left="2880" w:hanging="360"/>
      </w:pPr>
      <w:rPr>
        <w:rFonts w:ascii="Wingdings" w:hAnsi="Wingdings" w:hint="default"/>
      </w:rPr>
    </w:lvl>
    <w:lvl w:ilvl="4" w:tplc="647695EC" w:tentative="1">
      <w:start w:val="1"/>
      <w:numFmt w:val="bullet"/>
      <w:lvlText w:val=""/>
      <w:lvlJc w:val="left"/>
      <w:pPr>
        <w:tabs>
          <w:tab w:val="num" w:pos="3600"/>
        </w:tabs>
        <w:ind w:left="3600" w:hanging="360"/>
      </w:pPr>
      <w:rPr>
        <w:rFonts w:ascii="Wingdings" w:hAnsi="Wingdings" w:hint="default"/>
      </w:rPr>
    </w:lvl>
    <w:lvl w:ilvl="5" w:tplc="12E07FE4" w:tentative="1">
      <w:start w:val="1"/>
      <w:numFmt w:val="bullet"/>
      <w:lvlText w:val=""/>
      <w:lvlJc w:val="left"/>
      <w:pPr>
        <w:tabs>
          <w:tab w:val="num" w:pos="4320"/>
        </w:tabs>
        <w:ind w:left="4320" w:hanging="360"/>
      </w:pPr>
      <w:rPr>
        <w:rFonts w:ascii="Wingdings" w:hAnsi="Wingdings" w:hint="default"/>
      </w:rPr>
    </w:lvl>
    <w:lvl w:ilvl="6" w:tplc="EE68CE38" w:tentative="1">
      <w:start w:val="1"/>
      <w:numFmt w:val="bullet"/>
      <w:lvlText w:val=""/>
      <w:lvlJc w:val="left"/>
      <w:pPr>
        <w:tabs>
          <w:tab w:val="num" w:pos="5040"/>
        </w:tabs>
        <w:ind w:left="5040" w:hanging="360"/>
      </w:pPr>
      <w:rPr>
        <w:rFonts w:ascii="Wingdings" w:hAnsi="Wingdings" w:hint="default"/>
      </w:rPr>
    </w:lvl>
    <w:lvl w:ilvl="7" w:tplc="CFA0A9A8" w:tentative="1">
      <w:start w:val="1"/>
      <w:numFmt w:val="bullet"/>
      <w:lvlText w:val=""/>
      <w:lvlJc w:val="left"/>
      <w:pPr>
        <w:tabs>
          <w:tab w:val="num" w:pos="5760"/>
        </w:tabs>
        <w:ind w:left="5760" w:hanging="360"/>
      </w:pPr>
      <w:rPr>
        <w:rFonts w:ascii="Wingdings" w:hAnsi="Wingdings" w:hint="default"/>
      </w:rPr>
    </w:lvl>
    <w:lvl w:ilvl="8" w:tplc="264EC944" w:tentative="1">
      <w:start w:val="1"/>
      <w:numFmt w:val="bullet"/>
      <w:lvlText w:val=""/>
      <w:lvlJc w:val="left"/>
      <w:pPr>
        <w:tabs>
          <w:tab w:val="num" w:pos="6480"/>
        </w:tabs>
        <w:ind w:left="6480" w:hanging="360"/>
      </w:pPr>
      <w:rPr>
        <w:rFonts w:ascii="Wingdings" w:hAnsi="Wingdings" w:hint="default"/>
      </w:rPr>
    </w:lvl>
  </w:abstractNum>
  <w:abstractNum w:abstractNumId="33">
    <w:nsid w:val="7FA77FC3"/>
    <w:multiLevelType w:val="hybridMultilevel"/>
    <w:tmpl w:val="6D68AD9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5"/>
  </w:num>
  <w:num w:numId="4">
    <w:abstractNumId w:val="28"/>
  </w:num>
  <w:num w:numId="5">
    <w:abstractNumId w:val="2"/>
  </w:num>
  <w:num w:numId="6">
    <w:abstractNumId w:val="13"/>
  </w:num>
  <w:num w:numId="7">
    <w:abstractNumId w:val="32"/>
  </w:num>
  <w:num w:numId="8">
    <w:abstractNumId w:val="5"/>
  </w:num>
  <w:num w:numId="9">
    <w:abstractNumId w:val="27"/>
  </w:num>
  <w:num w:numId="10">
    <w:abstractNumId w:val="16"/>
  </w:num>
  <w:num w:numId="11">
    <w:abstractNumId w:val="26"/>
  </w:num>
  <w:num w:numId="12">
    <w:abstractNumId w:val="22"/>
  </w:num>
  <w:num w:numId="13">
    <w:abstractNumId w:val="8"/>
  </w:num>
  <w:num w:numId="14">
    <w:abstractNumId w:val="6"/>
  </w:num>
  <w:num w:numId="15">
    <w:abstractNumId w:val="14"/>
  </w:num>
  <w:num w:numId="16">
    <w:abstractNumId w:val="29"/>
  </w:num>
  <w:num w:numId="17">
    <w:abstractNumId w:val="17"/>
  </w:num>
  <w:num w:numId="18">
    <w:abstractNumId w:val="7"/>
  </w:num>
  <w:num w:numId="19">
    <w:abstractNumId w:val="0"/>
  </w:num>
  <w:num w:numId="20">
    <w:abstractNumId w:val="18"/>
  </w:num>
  <w:num w:numId="21">
    <w:abstractNumId w:val="1"/>
  </w:num>
  <w:num w:numId="22">
    <w:abstractNumId w:val="10"/>
  </w:num>
  <w:num w:numId="23">
    <w:abstractNumId w:val="31"/>
  </w:num>
  <w:num w:numId="24">
    <w:abstractNumId w:val="21"/>
  </w:num>
  <w:num w:numId="25">
    <w:abstractNumId w:val="4"/>
  </w:num>
  <w:num w:numId="26">
    <w:abstractNumId w:val="30"/>
  </w:num>
  <w:num w:numId="27">
    <w:abstractNumId w:val="19"/>
  </w:num>
  <w:num w:numId="28">
    <w:abstractNumId w:val="20"/>
  </w:num>
  <w:num w:numId="29">
    <w:abstractNumId w:val="12"/>
  </w:num>
  <w:num w:numId="30">
    <w:abstractNumId w:val="24"/>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9"/>
  </w:num>
  <w:num w:numId="35">
    <w:abstractNumId w:val="33"/>
  </w:num>
  <w:num w:numId="36">
    <w:abstractNumId w:val="3"/>
  </w:num>
  <w:num w:numId="37">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C3219"/>
    <w:rsid w:val="00000647"/>
    <w:rsid w:val="000015D0"/>
    <w:rsid w:val="00002A66"/>
    <w:rsid w:val="00004C16"/>
    <w:rsid w:val="00007912"/>
    <w:rsid w:val="00011055"/>
    <w:rsid w:val="00013349"/>
    <w:rsid w:val="0001365E"/>
    <w:rsid w:val="000143B4"/>
    <w:rsid w:val="000144C8"/>
    <w:rsid w:val="000160DA"/>
    <w:rsid w:val="000209E5"/>
    <w:rsid w:val="00021064"/>
    <w:rsid w:val="00021465"/>
    <w:rsid w:val="00023827"/>
    <w:rsid w:val="00023E2E"/>
    <w:rsid w:val="00024BF7"/>
    <w:rsid w:val="00025A9D"/>
    <w:rsid w:val="00027478"/>
    <w:rsid w:val="000279EC"/>
    <w:rsid w:val="00027EA4"/>
    <w:rsid w:val="000317DA"/>
    <w:rsid w:val="00033326"/>
    <w:rsid w:val="000335AF"/>
    <w:rsid w:val="0003440E"/>
    <w:rsid w:val="00035000"/>
    <w:rsid w:val="00035E9D"/>
    <w:rsid w:val="000363C1"/>
    <w:rsid w:val="00037848"/>
    <w:rsid w:val="0004116D"/>
    <w:rsid w:val="00041ACB"/>
    <w:rsid w:val="00042490"/>
    <w:rsid w:val="000425D4"/>
    <w:rsid w:val="0004703A"/>
    <w:rsid w:val="00050711"/>
    <w:rsid w:val="0005231A"/>
    <w:rsid w:val="00052547"/>
    <w:rsid w:val="00052AB6"/>
    <w:rsid w:val="00053B22"/>
    <w:rsid w:val="00056875"/>
    <w:rsid w:val="000569AF"/>
    <w:rsid w:val="0006073B"/>
    <w:rsid w:val="00062136"/>
    <w:rsid w:val="00062937"/>
    <w:rsid w:val="00063D89"/>
    <w:rsid w:val="00064876"/>
    <w:rsid w:val="00065049"/>
    <w:rsid w:val="000667E9"/>
    <w:rsid w:val="00066B40"/>
    <w:rsid w:val="0006705E"/>
    <w:rsid w:val="0006758C"/>
    <w:rsid w:val="00070218"/>
    <w:rsid w:val="000716F1"/>
    <w:rsid w:val="000722F6"/>
    <w:rsid w:val="00073BCD"/>
    <w:rsid w:val="00074D6F"/>
    <w:rsid w:val="00076C26"/>
    <w:rsid w:val="00076DE4"/>
    <w:rsid w:val="00077C85"/>
    <w:rsid w:val="00080DAD"/>
    <w:rsid w:val="00082124"/>
    <w:rsid w:val="00083B1D"/>
    <w:rsid w:val="00085978"/>
    <w:rsid w:val="00085CC8"/>
    <w:rsid w:val="00086404"/>
    <w:rsid w:val="000871A9"/>
    <w:rsid w:val="00087961"/>
    <w:rsid w:val="00090789"/>
    <w:rsid w:val="000912DA"/>
    <w:rsid w:val="00093E82"/>
    <w:rsid w:val="00094784"/>
    <w:rsid w:val="00094A37"/>
    <w:rsid w:val="00095008"/>
    <w:rsid w:val="0009635F"/>
    <w:rsid w:val="00096FBC"/>
    <w:rsid w:val="000976E3"/>
    <w:rsid w:val="000A0446"/>
    <w:rsid w:val="000A0658"/>
    <w:rsid w:val="000A0D7C"/>
    <w:rsid w:val="000A102F"/>
    <w:rsid w:val="000A4D89"/>
    <w:rsid w:val="000A51D0"/>
    <w:rsid w:val="000A7794"/>
    <w:rsid w:val="000B08DC"/>
    <w:rsid w:val="000B1AEB"/>
    <w:rsid w:val="000B3FD9"/>
    <w:rsid w:val="000B4A10"/>
    <w:rsid w:val="000B586C"/>
    <w:rsid w:val="000B696F"/>
    <w:rsid w:val="000B6BFB"/>
    <w:rsid w:val="000B7800"/>
    <w:rsid w:val="000C0727"/>
    <w:rsid w:val="000C0FAA"/>
    <w:rsid w:val="000C10A6"/>
    <w:rsid w:val="000C1EE3"/>
    <w:rsid w:val="000C46ED"/>
    <w:rsid w:val="000C657D"/>
    <w:rsid w:val="000C714C"/>
    <w:rsid w:val="000D0C1D"/>
    <w:rsid w:val="000D0F5C"/>
    <w:rsid w:val="000D103B"/>
    <w:rsid w:val="000D2BA9"/>
    <w:rsid w:val="000D2E23"/>
    <w:rsid w:val="000D38FC"/>
    <w:rsid w:val="000D562B"/>
    <w:rsid w:val="000D691A"/>
    <w:rsid w:val="000E044D"/>
    <w:rsid w:val="000E0C2F"/>
    <w:rsid w:val="000E0EF7"/>
    <w:rsid w:val="000E1512"/>
    <w:rsid w:val="000E22BF"/>
    <w:rsid w:val="000E3006"/>
    <w:rsid w:val="000E3253"/>
    <w:rsid w:val="000E5687"/>
    <w:rsid w:val="000E6E42"/>
    <w:rsid w:val="000F0DAC"/>
    <w:rsid w:val="000F21AF"/>
    <w:rsid w:val="000F2A99"/>
    <w:rsid w:val="000F2CA1"/>
    <w:rsid w:val="000F69A3"/>
    <w:rsid w:val="000F79FC"/>
    <w:rsid w:val="000F7E92"/>
    <w:rsid w:val="001007F9"/>
    <w:rsid w:val="00100EF1"/>
    <w:rsid w:val="00101E5B"/>
    <w:rsid w:val="0010255B"/>
    <w:rsid w:val="00102B48"/>
    <w:rsid w:val="0010410B"/>
    <w:rsid w:val="001068C0"/>
    <w:rsid w:val="00107577"/>
    <w:rsid w:val="001077F3"/>
    <w:rsid w:val="00110F75"/>
    <w:rsid w:val="00111A0B"/>
    <w:rsid w:val="00112089"/>
    <w:rsid w:val="00114E5C"/>
    <w:rsid w:val="001216A1"/>
    <w:rsid w:val="0012175C"/>
    <w:rsid w:val="00121A15"/>
    <w:rsid w:val="00121D24"/>
    <w:rsid w:val="00123789"/>
    <w:rsid w:val="00123D3D"/>
    <w:rsid w:val="001240A1"/>
    <w:rsid w:val="00124529"/>
    <w:rsid w:val="0012499F"/>
    <w:rsid w:val="00125754"/>
    <w:rsid w:val="00125853"/>
    <w:rsid w:val="001260C9"/>
    <w:rsid w:val="00126CF2"/>
    <w:rsid w:val="001270D4"/>
    <w:rsid w:val="00127F40"/>
    <w:rsid w:val="0013016B"/>
    <w:rsid w:val="00132493"/>
    <w:rsid w:val="00132DF7"/>
    <w:rsid w:val="00135E05"/>
    <w:rsid w:val="00135E73"/>
    <w:rsid w:val="0013660B"/>
    <w:rsid w:val="00136ECE"/>
    <w:rsid w:val="00137538"/>
    <w:rsid w:val="0014171B"/>
    <w:rsid w:val="00141C76"/>
    <w:rsid w:val="0014796D"/>
    <w:rsid w:val="00153AA0"/>
    <w:rsid w:val="0015475C"/>
    <w:rsid w:val="00154C56"/>
    <w:rsid w:val="00154C84"/>
    <w:rsid w:val="00155991"/>
    <w:rsid w:val="00155D9A"/>
    <w:rsid w:val="00157143"/>
    <w:rsid w:val="001572C7"/>
    <w:rsid w:val="0016189E"/>
    <w:rsid w:val="00162E26"/>
    <w:rsid w:val="001635A1"/>
    <w:rsid w:val="00163995"/>
    <w:rsid w:val="001653CC"/>
    <w:rsid w:val="0016567B"/>
    <w:rsid w:val="00167594"/>
    <w:rsid w:val="00170F50"/>
    <w:rsid w:val="001713F8"/>
    <w:rsid w:val="0017528D"/>
    <w:rsid w:val="00175417"/>
    <w:rsid w:val="00175A07"/>
    <w:rsid w:val="00176B89"/>
    <w:rsid w:val="00176FE1"/>
    <w:rsid w:val="001778D9"/>
    <w:rsid w:val="001804E2"/>
    <w:rsid w:val="001806D8"/>
    <w:rsid w:val="00182795"/>
    <w:rsid w:val="00182E6C"/>
    <w:rsid w:val="00184495"/>
    <w:rsid w:val="001859DA"/>
    <w:rsid w:val="001870D9"/>
    <w:rsid w:val="00190494"/>
    <w:rsid w:val="001922DE"/>
    <w:rsid w:val="0019389C"/>
    <w:rsid w:val="0019395F"/>
    <w:rsid w:val="0019453E"/>
    <w:rsid w:val="00194B00"/>
    <w:rsid w:val="001A03C9"/>
    <w:rsid w:val="001A0AD3"/>
    <w:rsid w:val="001A3642"/>
    <w:rsid w:val="001A3C5F"/>
    <w:rsid w:val="001A796C"/>
    <w:rsid w:val="001A7D1B"/>
    <w:rsid w:val="001B4CD2"/>
    <w:rsid w:val="001B646B"/>
    <w:rsid w:val="001B70A2"/>
    <w:rsid w:val="001C11B0"/>
    <w:rsid w:val="001C188C"/>
    <w:rsid w:val="001C276E"/>
    <w:rsid w:val="001C3677"/>
    <w:rsid w:val="001C49F3"/>
    <w:rsid w:val="001C5122"/>
    <w:rsid w:val="001C6AD6"/>
    <w:rsid w:val="001C6C6E"/>
    <w:rsid w:val="001C6DCA"/>
    <w:rsid w:val="001C7E46"/>
    <w:rsid w:val="001D01E2"/>
    <w:rsid w:val="001D149A"/>
    <w:rsid w:val="001D2A46"/>
    <w:rsid w:val="001D316F"/>
    <w:rsid w:val="001D32A6"/>
    <w:rsid w:val="001D4B08"/>
    <w:rsid w:val="001D70F8"/>
    <w:rsid w:val="001D7A52"/>
    <w:rsid w:val="001E029C"/>
    <w:rsid w:val="001E0A91"/>
    <w:rsid w:val="001E0D96"/>
    <w:rsid w:val="001E0ED3"/>
    <w:rsid w:val="001E1FBC"/>
    <w:rsid w:val="001E3A15"/>
    <w:rsid w:val="001E5A4D"/>
    <w:rsid w:val="001E6B72"/>
    <w:rsid w:val="001F0F3B"/>
    <w:rsid w:val="001F1B4B"/>
    <w:rsid w:val="001F1F14"/>
    <w:rsid w:val="001F2910"/>
    <w:rsid w:val="001F3778"/>
    <w:rsid w:val="001F3FBC"/>
    <w:rsid w:val="001F4579"/>
    <w:rsid w:val="001F45B4"/>
    <w:rsid w:val="001F5EDD"/>
    <w:rsid w:val="001F67A7"/>
    <w:rsid w:val="001F6D9A"/>
    <w:rsid w:val="001F7330"/>
    <w:rsid w:val="001F7892"/>
    <w:rsid w:val="001F7A57"/>
    <w:rsid w:val="0020279F"/>
    <w:rsid w:val="002027F8"/>
    <w:rsid w:val="00202D7C"/>
    <w:rsid w:val="00202DB5"/>
    <w:rsid w:val="00206D37"/>
    <w:rsid w:val="002074D3"/>
    <w:rsid w:val="0020784D"/>
    <w:rsid w:val="002104AF"/>
    <w:rsid w:val="00211041"/>
    <w:rsid w:val="0021131B"/>
    <w:rsid w:val="00211561"/>
    <w:rsid w:val="002118A4"/>
    <w:rsid w:val="00212896"/>
    <w:rsid w:val="0021290D"/>
    <w:rsid w:val="00213B3E"/>
    <w:rsid w:val="00215F5D"/>
    <w:rsid w:val="00217F7C"/>
    <w:rsid w:val="00221777"/>
    <w:rsid w:val="00222D8C"/>
    <w:rsid w:val="0022352B"/>
    <w:rsid w:val="0022749A"/>
    <w:rsid w:val="0022793D"/>
    <w:rsid w:val="00227EF0"/>
    <w:rsid w:val="0023286C"/>
    <w:rsid w:val="00233745"/>
    <w:rsid w:val="00233C30"/>
    <w:rsid w:val="00233C8B"/>
    <w:rsid w:val="00233EF5"/>
    <w:rsid w:val="002343AC"/>
    <w:rsid w:val="002377EB"/>
    <w:rsid w:val="002379CC"/>
    <w:rsid w:val="002400D7"/>
    <w:rsid w:val="00241558"/>
    <w:rsid w:val="00241948"/>
    <w:rsid w:val="00241D04"/>
    <w:rsid w:val="00243DE3"/>
    <w:rsid w:val="00244E73"/>
    <w:rsid w:val="0024521A"/>
    <w:rsid w:val="002460C9"/>
    <w:rsid w:val="0024654D"/>
    <w:rsid w:val="00246ECC"/>
    <w:rsid w:val="00247DEA"/>
    <w:rsid w:val="00250007"/>
    <w:rsid w:val="0025023E"/>
    <w:rsid w:val="0025280A"/>
    <w:rsid w:val="00252886"/>
    <w:rsid w:val="00254B0B"/>
    <w:rsid w:val="0025569E"/>
    <w:rsid w:val="00255ED3"/>
    <w:rsid w:val="00256A91"/>
    <w:rsid w:val="00256D19"/>
    <w:rsid w:val="002578AE"/>
    <w:rsid w:val="00257CE4"/>
    <w:rsid w:val="0026206A"/>
    <w:rsid w:val="002642CC"/>
    <w:rsid w:val="002643AA"/>
    <w:rsid w:val="00266258"/>
    <w:rsid w:val="00266E99"/>
    <w:rsid w:val="0026755A"/>
    <w:rsid w:val="002709FB"/>
    <w:rsid w:val="00270B73"/>
    <w:rsid w:val="002714C4"/>
    <w:rsid w:val="002722F9"/>
    <w:rsid w:val="0027336C"/>
    <w:rsid w:val="002739F0"/>
    <w:rsid w:val="002747A3"/>
    <w:rsid w:val="00280D43"/>
    <w:rsid w:val="00280FDC"/>
    <w:rsid w:val="00281AA5"/>
    <w:rsid w:val="00281FBD"/>
    <w:rsid w:val="002836D3"/>
    <w:rsid w:val="0028540D"/>
    <w:rsid w:val="0028791C"/>
    <w:rsid w:val="00287A66"/>
    <w:rsid w:val="00287FE2"/>
    <w:rsid w:val="00290E91"/>
    <w:rsid w:val="00291E9A"/>
    <w:rsid w:val="00293780"/>
    <w:rsid w:val="0029566A"/>
    <w:rsid w:val="00297B67"/>
    <w:rsid w:val="00297EB2"/>
    <w:rsid w:val="002A1442"/>
    <w:rsid w:val="002A1ED9"/>
    <w:rsid w:val="002A29BE"/>
    <w:rsid w:val="002A3B8E"/>
    <w:rsid w:val="002A3C19"/>
    <w:rsid w:val="002A5454"/>
    <w:rsid w:val="002A71F4"/>
    <w:rsid w:val="002A7B39"/>
    <w:rsid w:val="002B37F0"/>
    <w:rsid w:val="002B3C7C"/>
    <w:rsid w:val="002B58B4"/>
    <w:rsid w:val="002B62FD"/>
    <w:rsid w:val="002B7096"/>
    <w:rsid w:val="002B7CE4"/>
    <w:rsid w:val="002C41AB"/>
    <w:rsid w:val="002C43F2"/>
    <w:rsid w:val="002C6BCE"/>
    <w:rsid w:val="002C74E9"/>
    <w:rsid w:val="002D0A99"/>
    <w:rsid w:val="002D2016"/>
    <w:rsid w:val="002D2366"/>
    <w:rsid w:val="002D3415"/>
    <w:rsid w:val="002D3773"/>
    <w:rsid w:val="002D4912"/>
    <w:rsid w:val="002D4D92"/>
    <w:rsid w:val="002E0344"/>
    <w:rsid w:val="002E2423"/>
    <w:rsid w:val="002E301B"/>
    <w:rsid w:val="002E4EA5"/>
    <w:rsid w:val="002E5E6D"/>
    <w:rsid w:val="002E67E5"/>
    <w:rsid w:val="002E68C4"/>
    <w:rsid w:val="002E778C"/>
    <w:rsid w:val="002E79E6"/>
    <w:rsid w:val="002F1832"/>
    <w:rsid w:val="002F1A54"/>
    <w:rsid w:val="003016BD"/>
    <w:rsid w:val="00301E2D"/>
    <w:rsid w:val="00302287"/>
    <w:rsid w:val="00302F90"/>
    <w:rsid w:val="00303431"/>
    <w:rsid w:val="003046CB"/>
    <w:rsid w:val="0030538F"/>
    <w:rsid w:val="00307A69"/>
    <w:rsid w:val="00307C42"/>
    <w:rsid w:val="00310A2B"/>
    <w:rsid w:val="00311164"/>
    <w:rsid w:val="003140F7"/>
    <w:rsid w:val="003147F6"/>
    <w:rsid w:val="0031576B"/>
    <w:rsid w:val="00315E91"/>
    <w:rsid w:val="00316FF8"/>
    <w:rsid w:val="003214A1"/>
    <w:rsid w:val="0032206E"/>
    <w:rsid w:val="00323107"/>
    <w:rsid w:val="00324AC7"/>
    <w:rsid w:val="00324B1F"/>
    <w:rsid w:val="00324DC4"/>
    <w:rsid w:val="003276DE"/>
    <w:rsid w:val="00330283"/>
    <w:rsid w:val="003307D0"/>
    <w:rsid w:val="0033151E"/>
    <w:rsid w:val="0033152A"/>
    <w:rsid w:val="00331FF5"/>
    <w:rsid w:val="00332B26"/>
    <w:rsid w:val="00332F68"/>
    <w:rsid w:val="00333267"/>
    <w:rsid w:val="003343BC"/>
    <w:rsid w:val="00340975"/>
    <w:rsid w:val="003409B4"/>
    <w:rsid w:val="00340D94"/>
    <w:rsid w:val="003431AB"/>
    <w:rsid w:val="00344934"/>
    <w:rsid w:val="003463F1"/>
    <w:rsid w:val="003465FF"/>
    <w:rsid w:val="00346A15"/>
    <w:rsid w:val="003506CA"/>
    <w:rsid w:val="0035085A"/>
    <w:rsid w:val="00351126"/>
    <w:rsid w:val="00351881"/>
    <w:rsid w:val="00351B89"/>
    <w:rsid w:val="00351C48"/>
    <w:rsid w:val="0035219F"/>
    <w:rsid w:val="003524EF"/>
    <w:rsid w:val="00352580"/>
    <w:rsid w:val="003528EF"/>
    <w:rsid w:val="0035391E"/>
    <w:rsid w:val="00354A57"/>
    <w:rsid w:val="003550A9"/>
    <w:rsid w:val="00355B3B"/>
    <w:rsid w:val="003573C7"/>
    <w:rsid w:val="00362573"/>
    <w:rsid w:val="00363AEC"/>
    <w:rsid w:val="003644F4"/>
    <w:rsid w:val="00364E04"/>
    <w:rsid w:val="00364F64"/>
    <w:rsid w:val="0036739F"/>
    <w:rsid w:val="003708C3"/>
    <w:rsid w:val="003716C8"/>
    <w:rsid w:val="00372909"/>
    <w:rsid w:val="003736CE"/>
    <w:rsid w:val="00373D7C"/>
    <w:rsid w:val="00373D91"/>
    <w:rsid w:val="0037744D"/>
    <w:rsid w:val="00382A22"/>
    <w:rsid w:val="00383663"/>
    <w:rsid w:val="00384CFC"/>
    <w:rsid w:val="00384EA3"/>
    <w:rsid w:val="00386BF0"/>
    <w:rsid w:val="00386C67"/>
    <w:rsid w:val="00390D59"/>
    <w:rsid w:val="00391232"/>
    <w:rsid w:val="00391C6A"/>
    <w:rsid w:val="003933B1"/>
    <w:rsid w:val="003940CE"/>
    <w:rsid w:val="003943CD"/>
    <w:rsid w:val="003953D5"/>
    <w:rsid w:val="00396FAC"/>
    <w:rsid w:val="003A0F42"/>
    <w:rsid w:val="003A25C3"/>
    <w:rsid w:val="003A2CA4"/>
    <w:rsid w:val="003A3122"/>
    <w:rsid w:val="003A4AF4"/>
    <w:rsid w:val="003A6035"/>
    <w:rsid w:val="003A7E4B"/>
    <w:rsid w:val="003B0F4C"/>
    <w:rsid w:val="003B1772"/>
    <w:rsid w:val="003B1852"/>
    <w:rsid w:val="003B3C04"/>
    <w:rsid w:val="003B49E7"/>
    <w:rsid w:val="003B4C75"/>
    <w:rsid w:val="003B5B30"/>
    <w:rsid w:val="003B5CA4"/>
    <w:rsid w:val="003B6640"/>
    <w:rsid w:val="003B667D"/>
    <w:rsid w:val="003B6AAB"/>
    <w:rsid w:val="003C01F8"/>
    <w:rsid w:val="003C098E"/>
    <w:rsid w:val="003C0D2D"/>
    <w:rsid w:val="003C1C5E"/>
    <w:rsid w:val="003C3B24"/>
    <w:rsid w:val="003C4357"/>
    <w:rsid w:val="003C468A"/>
    <w:rsid w:val="003C48B4"/>
    <w:rsid w:val="003C4B15"/>
    <w:rsid w:val="003D14D6"/>
    <w:rsid w:val="003D2C14"/>
    <w:rsid w:val="003D4B5F"/>
    <w:rsid w:val="003D5005"/>
    <w:rsid w:val="003D60A5"/>
    <w:rsid w:val="003D684D"/>
    <w:rsid w:val="003E033B"/>
    <w:rsid w:val="003E0463"/>
    <w:rsid w:val="003E71C9"/>
    <w:rsid w:val="003F19BE"/>
    <w:rsid w:val="003F2CFC"/>
    <w:rsid w:val="003F3045"/>
    <w:rsid w:val="003F376E"/>
    <w:rsid w:val="003F4AC3"/>
    <w:rsid w:val="00401AD4"/>
    <w:rsid w:val="00402CF3"/>
    <w:rsid w:val="004045C3"/>
    <w:rsid w:val="00404656"/>
    <w:rsid w:val="0040780E"/>
    <w:rsid w:val="0041138D"/>
    <w:rsid w:val="00411F3C"/>
    <w:rsid w:val="00412538"/>
    <w:rsid w:val="00413584"/>
    <w:rsid w:val="00413AE4"/>
    <w:rsid w:val="004145F8"/>
    <w:rsid w:val="004157BB"/>
    <w:rsid w:val="00415F13"/>
    <w:rsid w:val="00417B12"/>
    <w:rsid w:val="0042001E"/>
    <w:rsid w:val="00420805"/>
    <w:rsid w:val="00420897"/>
    <w:rsid w:val="00423802"/>
    <w:rsid w:val="00423AD5"/>
    <w:rsid w:val="004242EE"/>
    <w:rsid w:val="00424791"/>
    <w:rsid w:val="00425515"/>
    <w:rsid w:val="00425B38"/>
    <w:rsid w:val="00425CE3"/>
    <w:rsid w:val="00426053"/>
    <w:rsid w:val="004276BE"/>
    <w:rsid w:val="004318FC"/>
    <w:rsid w:val="00433E0F"/>
    <w:rsid w:val="00434890"/>
    <w:rsid w:val="00436C1E"/>
    <w:rsid w:val="00437F50"/>
    <w:rsid w:val="00443BF0"/>
    <w:rsid w:val="004445D1"/>
    <w:rsid w:val="004454AE"/>
    <w:rsid w:val="00445836"/>
    <w:rsid w:val="004477F4"/>
    <w:rsid w:val="00451122"/>
    <w:rsid w:val="00451A42"/>
    <w:rsid w:val="004537C1"/>
    <w:rsid w:val="00454319"/>
    <w:rsid w:val="004544D3"/>
    <w:rsid w:val="00454C6D"/>
    <w:rsid w:val="004567B2"/>
    <w:rsid w:val="0046166A"/>
    <w:rsid w:val="00462141"/>
    <w:rsid w:val="00462292"/>
    <w:rsid w:val="00462E97"/>
    <w:rsid w:val="004636C9"/>
    <w:rsid w:val="004644A8"/>
    <w:rsid w:val="0046573E"/>
    <w:rsid w:val="00470E64"/>
    <w:rsid w:val="0047252A"/>
    <w:rsid w:val="00482516"/>
    <w:rsid w:val="00482BB8"/>
    <w:rsid w:val="0048641F"/>
    <w:rsid w:val="00486591"/>
    <w:rsid w:val="00486D3C"/>
    <w:rsid w:val="00487A66"/>
    <w:rsid w:val="00487FCE"/>
    <w:rsid w:val="004909B4"/>
    <w:rsid w:val="00494103"/>
    <w:rsid w:val="00494E90"/>
    <w:rsid w:val="004953AB"/>
    <w:rsid w:val="00495410"/>
    <w:rsid w:val="004A076B"/>
    <w:rsid w:val="004A0921"/>
    <w:rsid w:val="004A1493"/>
    <w:rsid w:val="004A242A"/>
    <w:rsid w:val="004A2CB4"/>
    <w:rsid w:val="004A3AF8"/>
    <w:rsid w:val="004A443A"/>
    <w:rsid w:val="004A4898"/>
    <w:rsid w:val="004A4BE6"/>
    <w:rsid w:val="004A66E3"/>
    <w:rsid w:val="004A6A1A"/>
    <w:rsid w:val="004A74EA"/>
    <w:rsid w:val="004B0C96"/>
    <w:rsid w:val="004B334E"/>
    <w:rsid w:val="004B38A3"/>
    <w:rsid w:val="004B50EA"/>
    <w:rsid w:val="004B5DE7"/>
    <w:rsid w:val="004C05BF"/>
    <w:rsid w:val="004C16C4"/>
    <w:rsid w:val="004C2318"/>
    <w:rsid w:val="004C4226"/>
    <w:rsid w:val="004C46F3"/>
    <w:rsid w:val="004C5C86"/>
    <w:rsid w:val="004C5D41"/>
    <w:rsid w:val="004D059D"/>
    <w:rsid w:val="004D2A66"/>
    <w:rsid w:val="004D3644"/>
    <w:rsid w:val="004D3BBA"/>
    <w:rsid w:val="004D59CF"/>
    <w:rsid w:val="004D7999"/>
    <w:rsid w:val="004E0785"/>
    <w:rsid w:val="004E1C0C"/>
    <w:rsid w:val="004E773D"/>
    <w:rsid w:val="004F0266"/>
    <w:rsid w:val="004F2444"/>
    <w:rsid w:val="004F3608"/>
    <w:rsid w:val="004F5242"/>
    <w:rsid w:val="004F752E"/>
    <w:rsid w:val="004F7636"/>
    <w:rsid w:val="004F7C2F"/>
    <w:rsid w:val="00500B98"/>
    <w:rsid w:val="00500E26"/>
    <w:rsid w:val="005017B9"/>
    <w:rsid w:val="005021BF"/>
    <w:rsid w:val="00502589"/>
    <w:rsid w:val="005026B0"/>
    <w:rsid w:val="0050392D"/>
    <w:rsid w:val="005044C5"/>
    <w:rsid w:val="00504A88"/>
    <w:rsid w:val="00504D86"/>
    <w:rsid w:val="005062DD"/>
    <w:rsid w:val="00506FB3"/>
    <w:rsid w:val="0050786F"/>
    <w:rsid w:val="00512951"/>
    <w:rsid w:val="005129BF"/>
    <w:rsid w:val="0051312D"/>
    <w:rsid w:val="005135B3"/>
    <w:rsid w:val="00513EE3"/>
    <w:rsid w:val="00514B8E"/>
    <w:rsid w:val="00515056"/>
    <w:rsid w:val="0051588F"/>
    <w:rsid w:val="005158ED"/>
    <w:rsid w:val="005165B7"/>
    <w:rsid w:val="00520F58"/>
    <w:rsid w:val="00521918"/>
    <w:rsid w:val="00521DCA"/>
    <w:rsid w:val="00522287"/>
    <w:rsid w:val="0052264F"/>
    <w:rsid w:val="0052412A"/>
    <w:rsid w:val="0052607F"/>
    <w:rsid w:val="005304ED"/>
    <w:rsid w:val="00531513"/>
    <w:rsid w:val="0053160A"/>
    <w:rsid w:val="00532A9B"/>
    <w:rsid w:val="00534E9A"/>
    <w:rsid w:val="00537C77"/>
    <w:rsid w:val="00537EC9"/>
    <w:rsid w:val="0054387B"/>
    <w:rsid w:val="00544786"/>
    <w:rsid w:val="0054611C"/>
    <w:rsid w:val="00546D90"/>
    <w:rsid w:val="00547A75"/>
    <w:rsid w:val="00552E78"/>
    <w:rsid w:val="00554195"/>
    <w:rsid w:val="00555371"/>
    <w:rsid w:val="005556DC"/>
    <w:rsid w:val="0055584A"/>
    <w:rsid w:val="00557640"/>
    <w:rsid w:val="00557FDD"/>
    <w:rsid w:val="0056077B"/>
    <w:rsid w:val="00560A93"/>
    <w:rsid w:val="0056189D"/>
    <w:rsid w:val="005624F7"/>
    <w:rsid w:val="00563B4D"/>
    <w:rsid w:val="0056418B"/>
    <w:rsid w:val="00567310"/>
    <w:rsid w:val="00567C86"/>
    <w:rsid w:val="00567C8B"/>
    <w:rsid w:val="005704B6"/>
    <w:rsid w:val="0057098E"/>
    <w:rsid w:val="00570F3E"/>
    <w:rsid w:val="00572127"/>
    <w:rsid w:val="00576FD8"/>
    <w:rsid w:val="00577472"/>
    <w:rsid w:val="00580D8C"/>
    <w:rsid w:val="005815BC"/>
    <w:rsid w:val="00583333"/>
    <w:rsid w:val="00583691"/>
    <w:rsid w:val="00583CB5"/>
    <w:rsid w:val="005853DB"/>
    <w:rsid w:val="005857FF"/>
    <w:rsid w:val="00587999"/>
    <w:rsid w:val="00587BA3"/>
    <w:rsid w:val="005918BB"/>
    <w:rsid w:val="005919EA"/>
    <w:rsid w:val="00593E8F"/>
    <w:rsid w:val="005949B3"/>
    <w:rsid w:val="00594F2A"/>
    <w:rsid w:val="0059552A"/>
    <w:rsid w:val="0059770D"/>
    <w:rsid w:val="005A0DD4"/>
    <w:rsid w:val="005A2F99"/>
    <w:rsid w:val="005A4C90"/>
    <w:rsid w:val="005A58B4"/>
    <w:rsid w:val="005A6256"/>
    <w:rsid w:val="005A6DC1"/>
    <w:rsid w:val="005A6F50"/>
    <w:rsid w:val="005A742E"/>
    <w:rsid w:val="005B0E3E"/>
    <w:rsid w:val="005B17C4"/>
    <w:rsid w:val="005B2C8B"/>
    <w:rsid w:val="005B4BCE"/>
    <w:rsid w:val="005B6D6E"/>
    <w:rsid w:val="005B7D98"/>
    <w:rsid w:val="005C4A67"/>
    <w:rsid w:val="005C6ED9"/>
    <w:rsid w:val="005D1825"/>
    <w:rsid w:val="005D1F08"/>
    <w:rsid w:val="005D6DC0"/>
    <w:rsid w:val="005D7FB9"/>
    <w:rsid w:val="005E09FD"/>
    <w:rsid w:val="005E12EF"/>
    <w:rsid w:val="005E1F23"/>
    <w:rsid w:val="005E2249"/>
    <w:rsid w:val="005E240E"/>
    <w:rsid w:val="005E2A2F"/>
    <w:rsid w:val="005E2A4F"/>
    <w:rsid w:val="005E4AC3"/>
    <w:rsid w:val="005E5D6E"/>
    <w:rsid w:val="005E5E5E"/>
    <w:rsid w:val="005E6197"/>
    <w:rsid w:val="005E6DB3"/>
    <w:rsid w:val="005E76CA"/>
    <w:rsid w:val="0060110A"/>
    <w:rsid w:val="006023DF"/>
    <w:rsid w:val="00603567"/>
    <w:rsid w:val="00603AF7"/>
    <w:rsid w:val="00603FFE"/>
    <w:rsid w:val="006053B5"/>
    <w:rsid w:val="0061244D"/>
    <w:rsid w:val="00613E22"/>
    <w:rsid w:val="00614B06"/>
    <w:rsid w:val="00615420"/>
    <w:rsid w:val="006156FC"/>
    <w:rsid w:val="006167E5"/>
    <w:rsid w:val="00616B3D"/>
    <w:rsid w:val="006209FE"/>
    <w:rsid w:val="00621ADF"/>
    <w:rsid w:val="00621B47"/>
    <w:rsid w:val="00621F22"/>
    <w:rsid w:val="00623289"/>
    <w:rsid w:val="00623900"/>
    <w:rsid w:val="00623E3B"/>
    <w:rsid w:val="00625144"/>
    <w:rsid w:val="0062794D"/>
    <w:rsid w:val="00630138"/>
    <w:rsid w:val="006304CA"/>
    <w:rsid w:val="0063092D"/>
    <w:rsid w:val="00630987"/>
    <w:rsid w:val="00630A9E"/>
    <w:rsid w:val="00631BB5"/>
    <w:rsid w:val="0063352C"/>
    <w:rsid w:val="00634469"/>
    <w:rsid w:val="006353E1"/>
    <w:rsid w:val="00637AAB"/>
    <w:rsid w:val="006405C1"/>
    <w:rsid w:val="006409CC"/>
    <w:rsid w:val="006411D5"/>
    <w:rsid w:val="00641227"/>
    <w:rsid w:val="006431D9"/>
    <w:rsid w:val="0064326B"/>
    <w:rsid w:val="00647DBF"/>
    <w:rsid w:val="00651C20"/>
    <w:rsid w:val="00651C8B"/>
    <w:rsid w:val="0065298A"/>
    <w:rsid w:val="006553AA"/>
    <w:rsid w:val="00657907"/>
    <w:rsid w:val="00657DB1"/>
    <w:rsid w:val="00661C4C"/>
    <w:rsid w:val="0066217E"/>
    <w:rsid w:val="00663908"/>
    <w:rsid w:val="00663A9C"/>
    <w:rsid w:val="00663ED9"/>
    <w:rsid w:val="0066524A"/>
    <w:rsid w:val="00667A2A"/>
    <w:rsid w:val="00670B72"/>
    <w:rsid w:val="00671DD2"/>
    <w:rsid w:val="006742D1"/>
    <w:rsid w:val="006743AF"/>
    <w:rsid w:val="006744F2"/>
    <w:rsid w:val="00674966"/>
    <w:rsid w:val="0067588E"/>
    <w:rsid w:val="006776B1"/>
    <w:rsid w:val="00680361"/>
    <w:rsid w:val="00681537"/>
    <w:rsid w:val="0068229F"/>
    <w:rsid w:val="00684076"/>
    <w:rsid w:val="00684AE8"/>
    <w:rsid w:val="00687036"/>
    <w:rsid w:val="00690938"/>
    <w:rsid w:val="00691481"/>
    <w:rsid w:val="00692847"/>
    <w:rsid w:val="00692C5D"/>
    <w:rsid w:val="00693DBA"/>
    <w:rsid w:val="00694417"/>
    <w:rsid w:val="00694C15"/>
    <w:rsid w:val="006950BA"/>
    <w:rsid w:val="0069798F"/>
    <w:rsid w:val="006A0A1A"/>
    <w:rsid w:val="006A16FE"/>
    <w:rsid w:val="006A186E"/>
    <w:rsid w:val="006A2D54"/>
    <w:rsid w:val="006A3FCC"/>
    <w:rsid w:val="006A4D6D"/>
    <w:rsid w:val="006A4DD2"/>
    <w:rsid w:val="006A77FA"/>
    <w:rsid w:val="006A7F32"/>
    <w:rsid w:val="006B06D5"/>
    <w:rsid w:val="006B0F1A"/>
    <w:rsid w:val="006B14DD"/>
    <w:rsid w:val="006B190E"/>
    <w:rsid w:val="006B4651"/>
    <w:rsid w:val="006B49DD"/>
    <w:rsid w:val="006B6990"/>
    <w:rsid w:val="006B712D"/>
    <w:rsid w:val="006C168D"/>
    <w:rsid w:val="006C2E98"/>
    <w:rsid w:val="006C3DED"/>
    <w:rsid w:val="006C720F"/>
    <w:rsid w:val="006C7B82"/>
    <w:rsid w:val="006D0810"/>
    <w:rsid w:val="006D28AC"/>
    <w:rsid w:val="006D4535"/>
    <w:rsid w:val="006D4550"/>
    <w:rsid w:val="006D65A2"/>
    <w:rsid w:val="006D76D5"/>
    <w:rsid w:val="006D7AA5"/>
    <w:rsid w:val="006E033C"/>
    <w:rsid w:val="006E0512"/>
    <w:rsid w:val="006E0EB4"/>
    <w:rsid w:val="006E19F6"/>
    <w:rsid w:val="006E1A30"/>
    <w:rsid w:val="006E1E43"/>
    <w:rsid w:val="006E4820"/>
    <w:rsid w:val="006E5774"/>
    <w:rsid w:val="006E58D6"/>
    <w:rsid w:val="006E6E25"/>
    <w:rsid w:val="006E7C9A"/>
    <w:rsid w:val="006F0CB6"/>
    <w:rsid w:val="006F2702"/>
    <w:rsid w:val="006F3715"/>
    <w:rsid w:val="006F3F6B"/>
    <w:rsid w:val="006F406F"/>
    <w:rsid w:val="006F52B6"/>
    <w:rsid w:val="006F552C"/>
    <w:rsid w:val="006F7091"/>
    <w:rsid w:val="006F70E5"/>
    <w:rsid w:val="006F7794"/>
    <w:rsid w:val="00701027"/>
    <w:rsid w:val="0070290B"/>
    <w:rsid w:val="0070374F"/>
    <w:rsid w:val="0070390A"/>
    <w:rsid w:val="007058DA"/>
    <w:rsid w:val="00706C05"/>
    <w:rsid w:val="007076E5"/>
    <w:rsid w:val="007077E6"/>
    <w:rsid w:val="00711344"/>
    <w:rsid w:val="007128D2"/>
    <w:rsid w:val="00712D2A"/>
    <w:rsid w:val="00712EA4"/>
    <w:rsid w:val="0071395A"/>
    <w:rsid w:val="00713F99"/>
    <w:rsid w:val="00714C6C"/>
    <w:rsid w:val="00714F2E"/>
    <w:rsid w:val="00714F59"/>
    <w:rsid w:val="00714FE5"/>
    <w:rsid w:val="00715D62"/>
    <w:rsid w:val="00716692"/>
    <w:rsid w:val="007202F2"/>
    <w:rsid w:val="00720980"/>
    <w:rsid w:val="0072106C"/>
    <w:rsid w:val="00724E7F"/>
    <w:rsid w:val="00725E0A"/>
    <w:rsid w:val="007303EC"/>
    <w:rsid w:val="00730C73"/>
    <w:rsid w:val="0073107F"/>
    <w:rsid w:val="0073258A"/>
    <w:rsid w:val="00732DDC"/>
    <w:rsid w:val="00733CF6"/>
    <w:rsid w:val="00735E36"/>
    <w:rsid w:val="00736000"/>
    <w:rsid w:val="00736529"/>
    <w:rsid w:val="00736DCB"/>
    <w:rsid w:val="00740761"/>
    <w:rsid w:val="0074134D"/>
    <w:rsid w:val="00743FEB"/>
    <w:rsid w:val="00744094"/>
    <w:rsid w:val="00744C57"/>
    <w:rsid w:val="00747E6D"/>
    <w:rsid w:val="007506B7"/>
    <w:rsid w:val="00751B88"/>
    <w:rsid w:val="0075201A"/>
    <w:rsid w:val="00752A34"/>
    <w:rsid w:val="00752AFF"/>
    <w:rsid w:val="00754A08"/>
    <w:rsid w:val="00754F96"/>
    <w:rsid w:val="00756708"/>
    <w:rsid w:val="00756D54"/>
    <w:rsid w:val="00757819"/>
    <w:rsid w:val="00760DF1"/>
    <w:rsid w:val="007624D7"/>
    <w:rsid w:val="00762591"/>
    <w:rsid w:val="00764F75"/>
    <w:rsid w:val="00766824"/>
    <w:rsid w:val="00767E27"/>
    <w:rsid w:val="007701B6"/>
    <w:rsid w:val="007704E9"/>
    <w:rsid w:val="00771061"/>
    <w:rsid w:val="0077219A"/>
    <w:rsid w:val="007723C4"/>
    <w:rsid w:val="0078056C"/>
    <w:rsid w:val="00781F1B"/>
    <w:rsid w:val="00783C8F"/>
    <w:rsid w:val="00785CE0"/>
    <w:rsid w:val="007915A3"/>
    <w:rsid w:val="00792B45"/>
    <w:rsid w:val="00792C4E"/>
    <w:rsid w:val="00795BD9"/>
    <w:rsid w:val="007962E2"/>
    <w:rsid w:val="00796B45"/>
    <w:rsid w:val="007A0B86"/>
    <w:rsid w:val="007A1723"/>
    <w:rsid w:val="007A2974"/>
    <w:rsid w:val="007A3E59"/>
    <w:rsid w:val="007A4FD9"/>
    <w:rsid w:val="007A5B60"/>
    <w:rsid w:val="007A5E73"/>
    <w:rsid w:val="007B0487"/>
    <w:rsid w:val="007B3E94"/>
    <w:rsid w:val="007B60B6"/>
    <w:rsid w:val="007C0EBA"/>
    <w:rsid w:val="007C2B59"/>
    <w:rsid w:val="007C2C0C"/>
    <w:rsid w:val="007C43A8"/>
    <w:rsid w:val="007C690E"/>
    <w:rsid w:val="007C6B90"/>
    <w:rsid w:val="007D0ADA"/>
    <w:rsid w:val="007D2189"/>
    <w:rsid w:val="007D30AE"/>
    <w:rsid w:val="007D30CA"/>
    <w:rsid w:val="007D4A7B"/>
    <w:rsid w:val="007D5939"/>
    <w:rsid w:val="007D6FE4"/>
    <w:rsid w:val="007D713B"/>
    <w:rsid w:val="007D74E9"/>
    <w:rsid w:val="007E0C17"/>
    <w:rsid w:val="007E1972"/>
    <w:rsid w:val="007E24B4"/>
    <w:rsid w:val="007E3149"/>
    <w:rsid w:val="007E3DDE"/>
    <w:rsid w:val="007E566D"/>
    <w:rsid w:val="007E6B96"/>
    <w:rsid w:val="007E74B9"/>
    <w:rsid w:val="007E7DB6"/>
    <w:rsid w:val="007F02AD"/>
    <w:rsid w:val="007F209D"/>
    <w:rsid w:val="007F664A"/>
    <w:rsid w:val="007F68CE"/>
    <w:rsid w:val="007F76AC"/>
    <w:rsid w:val="007F78B2"/>
    <w:rsid w:val="007F7A89"/>
    <w:rsid w:val="007F7EEF"/>
    <w:rsid w:val="008003F6"/>
    <w:rsid w:val="00801C29"/>
    <w:rsid w:val="00801D35"/>
    <w:rsid w:val="008026BB"/>
    <w:rsid w:val="008035CE"/>
    <w:rsid w:val="00804EB0"/>
    <w:rsid w:val="00806EEB"/>
    <w:rsid w:val="008073B7"/>
    <w:rsid w:val="00807A75"/>
    <w:rsid w:val="00811E07"/>
    <w:rsid w:val="00812AAF"/>
    <w:rsid w:val="00813360"/>
    <w:rsid w:val="00814283"/>
    <w:rsid w:val="00815C1C"/>
    <w:rsid w:val="00816108"/>
    <w:rsid w:val="008169A6"/>
    <w:rsid w:val="0082039E"/>
    <w:rsid w:val="008204C8"/>
    <w:rsid w:val="00821569"/>
    <w:rsid w:val="00823180"/>
    <w:rsid w:val="0082595E"/>
    <w:rsid w:val="00825983"/>
    <w:rsid w:val="0083308B"/>
    <w:rsid w:val="0083323B"/>
    <w:rsid w:val="00833509"/>
    <w:rsid w:val="0083459E"/>
    <w:rsid w:val="00836616"/>
    <w:rsid w:val="0083718B"/>
    <w:rsid w:val="00837635"/>
    <w:rsid w:val="008403E3"/>
    <w:rsid w:val="00842F29"/>
    <w:rsid w:val="00843C26"/>
    <w:rsid w:val="00844C78"/>
    <w:rsid w:val="008470D1"/>
    <w:rsid w:val="00851EC1"/>
    <w:rsid w:val="00851F2B"/>
    <w:rsid w:val="00854B9C"/>
    <w:rsid w:val="00854E66"/>
    <w:rsid w:val="00855697"/>
    <w:rsid w:val="008558CF"/>
    <w:rsid w:val="00856334"/>
    <w:rsid w:val="00856CE7"/>
    <w:rsid w:val="00860246"/>
    <w:rsid w:val="0086117B"/>
    <w:rsid w:val="0086187F"/>
    <w:rsid w:val="00864734"/>
    <w:rsid w:val="00865B2F"/>
    <w:rsid w:val="008668EF"/>
    <w:rsid w:val="00871CA9"/>
    <w:rsid w:val="00873E16"/>
    <w:rsid w:val="008752DA"/>
    <w:rsid w:val="00875AB4"/>
    <w:rsid w:val="00875CFB"/>
    <w:rsid w:val="008773DC"/>
    <w:rsid w:val="00877BCA"/>
    <w:rsid w:val="0088172A"/>
    <w:rsid w:val="00881E6F"/>
    <w:rsid w:val="0088269A"/>
    <w:rsid w:val="00882A0E"/>
    <w:rsid w:val="00882BDD"/>
    <w:rsid w:val="00886CA1"/>
    <w:rsid w:val="0089007E"/>
    <w:rsid w:val="0089063A"/>
    <w:rsid w:val="00892B67"/>
    <w:rsid w:val="00892D40"/>
    <w:rsid w:val="0089310B"/>
    <w:rsid w:val="008940E7"/>
    <w:rsid w:val="008946C3"/>
    <w:rsid w:val="00897FC0"/>
    <w:rsid w:val="008A0376"/>
    <w:rsid w:val="008A0971"/>
    <w:rsid w:val="008A0D04"/>
    <w:rsid w:val="008A145C"/>
    <w:rsid w:val="008A2AFF"/>
    <w:rsid w:val="008A2C05"/>
    <w:rsid w:val="008A2EC7"/>
    <w:rsid w:val="008A32A9"/>
    <w:rsid w:val="008A3716"/>
    <w:rsid w:val="008A4ABE"/>
    <w:rsid w:val="008A6260"/>
    <w:rsid w:val="008A78AD"/>
    <w:rsid w:val="008A79C5"/>
    <w:rsid w:val="008B0285"/>
    <w:rsid w:val="008B0D87"/>
    <w:rsid w:val="008B1B7B"/>
    <w:rsid w:val="008B2D30"/>
    <w:rsid w:val="008B2EF4"/>
    <w:rsid w:val="008B3216"/>
    <w:rsid w:val="008B5D59"/>
    <w:rsid w:val="008C0243"/>
    <w:rsid w:val="008C0842"/>
    <w:rsid w:val="008C22C4"/>
    <w:rsid w:val="008C2DB3"/>
    <w:rsid w:val="008C3219"/>
    <w:rsid w:val="008C3995"/>
    <w:rsid w:val="008C4CFB"/>
    <w:rsid w:val="008C5648"/>
    <w:rsid w:val="008C585B"/>
    <w:rsid w:val="008D05F2"/>
    <w:rsid w:val="008D2AA9"/>
    <w:rsid w:val="008D72A9"/>
    <w:rsid w:val="008D7616"/>
    <w:rsid w:val="008D7652"/>
    <w:rsid w:val="008E0B5E"/>
    <w:rsid w:val="008E27C2"/>
    <w:rsid w:val="008E3391"/>
    <w:rsid w:val="008E33E7"/>
    <w:rsid w:val="008E46CC"/>
    <w:rsid w:val="008E6142"/>
    <w:rsid w:val="008E6EFB"/>
    <w:rsid w:val="008E75C0"/>
    <w:rsid w:val="008F0CD6"/>
    <w:rsid w:val="008F0E69"/>
    <w:rsid w:val="008F1466"/>
    <w:rsid w:val="008F245A"/>
    <w:rsid w:val="008F24FB"/>
    <w:rsid w:val="008F2BCF"/>
    <w:rsid w:val="008F356D"/>
    <w:rsid w:val="008F40CC"/>
    <w:rsid w:val="008F4486"/>
    <w:rsid w:val="008F45D6"/>
    <w:rsid w:val="0090051E"/>
    <w:rsid w:val="009023E8"/>
    <w:rsid w:val="00903B36"/>
    <w:rsid w:val="00903D79"/>
    <w:rsid w:val="00904A0D"/>
    <w:rsid w:val="00905C43"/>
    <w:rsid w:val="0090663E"/>
    <w:rsid w:val="00906A53"/>
    <w:rsid w:val="00907469"/>
    <w:rsid w:val="00910F75"/>
    <w:rsid w:val="009115D6"/>
    <w:rsid w:val="00912E8B"/>
    <w:rsid w:val="009161C4"/>
    <w:rsid w:val="00917639"/>
    <w:rsid w:val="00922342"/>
    <w:rsid w:val="00923160"/>
    <w:rsid w:val="00923C91"/>
    <w:rsid w:val="0092549B"/>
    <w:rsid w:val="0092632C"/>
    <w:rsid w:val="00927E19"/>
    <w:rsid w:val="00927EC6"/>
    <w:rsid w:val="00932DF7"/>
    <w:rsid w:val="00934411"/>
    <w:rsid w:val="00935294"/>
    <w:rsid w:val="0093677C"/>
    <w:rsid w:val="00936ADB"/>
    <w:rsid w:val="00936E0A"/>
    <w:rsid w:val="00937A47"/>
    <w:rsid w:val="0094064C"/>
    <w:rsid w:val="00941050"/>
    <w:rsid w:val="00941136"/>
    <w:rsid w:val="0094174F"/>
    <w:rsid w:val="0094191C"/>
    <w:rsid w:val="00942670"/>
    <w:rsid w:val="009445BD"/>
    <w:rsid w:val="0094536E"/>
    <w:rsid w:val="00946DD0"/>
    <w:rsid w:val="009479CF"/>
    <w:rsid w:val="00950727"/>
    <w:rsid w:val="00950B7C"/>
    <w:rsid w:val="009512CB"/>
    <w:rsid w:val="00951AF4"/>
    <w:rsid w:val="00953F6A"/>
    <w:rsid w:val="00954884"/>
    <w:rsid w:val="00955335"/>
    <w:rsid w:val="0096051C"/>
    <w:rsid w:val="009613B4"/>
    <w:rsid w:val="009635B6"/>
    <w:rsid w:val="00963E9B"/>
    <w:rsid w:val="00970248"/>
    <w:rsid w:val="00970BDC"/>
    <w:rsid w:val="009722F5"/>
    <w:rsid w:val="00973554"/>
    <w:rsid w:val="009743E1"/>
    <w:rsid w:val="0097656C"/>
    <w:rsid w:val="00976B3B"/>
    <w:rsid w:val="00976C60"/>
    <w:rsid w:val="009808F6"/>
    <w:rsid w:val="009856B5"/>
    <w:rsid w:val="00985F85"/>
    <w:rsid w:val="009867BD"/>
    <w:rsid w:val="00986D97"/>
    <w:rsid w:val="00990B93"/>
    <w:rsid w:val="00990FF8"/>
    <w:rsid w:val="00992B7E"/>
    <w:rsid w:val="009931BE"/>
    <w:rsid w:val="009937F9"/>
    <w:rsid w:val="0099426D"/>
    <w:rsid w:val="009949B9"/>
    <w:rsid w:val="009969BE"/>
    <w:rsid w:val="00997385"/>
    <w:rsid w:val="00997F7C"/>
    <w:rsid w:val="009A0720"/>
    <w:rsid w:val="009A0B54"/>
    <w:rsid w:val="009A3385"/>
    <w:rsid w:val="009A4A3D"/>
    <w:rsid w:val="009A5AC2"/>
    <w:rsid w:val="009A5CB7"/>
    <w:rsid w:val="009A62AD"/>
    <w:rsid w:val="009B74F3"/>
    <w:rsid w:val="009C0DF8"/>
    <w:rsid w:val="009C3E61"/>
    <w:rsid w:val="009C45CC"/>
    <w:rsid w:val="009C54BD"/>
    <w:rsid w:val="009C5BE2"/>
    <w:rsid w:val="009C5FFF"/>
    <w:rsid w:val="009D0EE6"/>
    <w:rsid w:val="009D29E4"/>
    <w:rsid w:val="009D4DEB"/>
    <w:rsid w:val="009D5471"/>
    <w:rsid w:val="009D79F3"/>
    <w:rsid w:val="009D7B54"/>
    <w:rsid w:val="009E0F39"/>
    <w:rsid w:val="009E3D49"/>
    <w:rsid w:val="009E4303"/>
    <w:rsid w:val="009E50F7"/>
    <w:rsid w:val="009E544A"/>
    <w:rsid w:val="009E564B"/>
    <w:rsid w:val="009E5EF1"/>
    <w:rsid w:val="009E5FD5"/>
    <w:rsid w:val="009E6238"/>
    <w:rsid w:val="009E723B"/>
    <w:rsid w:val="009E7275"/>
    <w:rsid w:val="009F0393"/>
    <w:rsid w:val="009F0B29"/>
    <w:rsid w:val="009F2A31"/>
    <w:rsid w:val="009F2EC1"/>
    <w:rsid w:val="009F39D6"/>
    <w:rsid w:val="009F444D"/>
    <w:rsid w:val="009F4618"/>
    <w:rsid w:val="009F4A5D"/>
    <w:rsid w:val="009F6149"/>
    <w:rsid w:val="009F64D7"/>
    <w:rsid w:val="009F6E07"/>
    <w:rsid w:val="00A01E1F"/>
    <w:rsid w:val="00A02478"/>
    <w:rsid w:val="00A02771"/>
    <w:rsid w:val="00A02797"/>
    <w:rsid w:val="00A02D10"/>
    <w:rsid w:val="00A0553E"/>
    <w:rsid w:val="00A055E7"/>
    <w:rsid w:val="00A10388"/>
    <w:rsid w:val="00A115DB"/>
    <w:rsid w:val="00A12AE3"/>
    <w:rsid w:val="00A143C0"/>
    <w:rsid w:val="00A15977"/>
    <w:rsid w:val="00A174C0"/>
    <w:rsid w:val="00A21488"/>
    <w:rsid w:val="00A220AD"/>
    <w:rsid w:val="00A2268B"/>
    <w:rsid w:val="00A228AA"/>
    <w:rsid w:val="00A2291F"/>
    <w:rsid w:val="00A25467"/>
    <w:rsid w:val="00A25B7A"/>
    <w:rsid w:val="00A26A4A"/>
    <w:rsid w:val="00A27331"/>
    <w:rsid w:val="00A3194D"/>
    <w:rsid w:val="00A34602"/>
    <w:rsid w:val="00A366FE"/>
    <w:rsid w:val="00A37561"/>
    <w:rsid w:val="00A407D0"/>
    <w:rsid w:val="00A42CC5"/>
    <w:rsid w:val="00A442F5"/>
    <w:rsid w:val="00A4479A"/>
    <w:rsid w:val="00A449A5"/>
    <w:rsid w:val="00A45C52"/>
    <w:rsid w:val="00A46008"/>
    <w:rsid w:val="00A4621E"/>
    <w:rsid w:val="00A464E6"/>
    <w:rsid w:val="00A46818"/>
    <w:rsid w:val="00A47781"/>
    <w:rsid w:val="00A50665"/>
    <w:rsid w:val="00A50D35"/>
    <w:rsid w:val="00A529B2"/>
    <w:rsid w:val="00A52EC4"/>
    <w:rsid w:val="00A53F7E"/>
    <w:rsid w:val="00A53F81"/>
    <w:rsid w:val="00A57FC6"/>
    <w:rsid w:val="00A61D30"/>
    <w:rsid w:val="00A631D5"/>
    <w:rsid w:val="00A63A4A"/>
    <w:rsid w:val="00A63B84"/>
    <w:rsid w:val="00A64659"/>
    <w:rsid w:val="00A64769"/>
    <w:rsid w:val="00A6494C"/>
    <w:rsid w:val="00A6500C"/>
    <w:rsid w:val="00A65BA8"/>
    <w:rsid w:val="00A66FBB"/>
    <w:rsid w:val="00A67423"/>
    <w:rsid w:val="00A67795"/>
    <w:rsid w:val="00A67ACC"/>
    <w:rsid w:val="00A67FBB"/>
    <w:rsid w:val="00A7292F"/>
    <w:rsid w:val="00A742DB"/>
    <w:rsid w:val="00A74542"/>
    <w:rsid w:val="00A750E4"/>
    <w:rsid w:val="00A76F5C"/>
    <w:rsid w:val="00A81670"/>
    <w:rsid w:val="00A82104"/>
    <w:rsid w:val="00A829D2"/>
    <w:rsid w:val="00A8373C"/>
    <w:rsid w:val="00A847A6"/>
    <w:rsid w:val="00A84F01"/>
    <w:rsid w:val="00A85159"/>
    <w:rsid w:val="00A8529B"/>
    <w:rsid w:val="00A868C5"/>
    <w:rsid w:val="00A9021E"/>
    <w:rsid w:val="00A90CBA"/>
    <w:rsid w:val="00A91428"/>
    <w:rsid w:val="00A92E49"/>
    <w:rsid w:val="00A9318B"/>
    <w:rsid w:val="00A935DC"/>
    <w:rsid w:val="00A93FE3"/>
    <w:rsid w:val="00A94CC6"/>
    <w:rsid w:val="00A9562E"/>
    <w:rsid w:val="00A97525"/>
    <w:rsid w:val="00AA0914"/>
    <w:rsid w:val="00AA1F11"/>
    <w:rsid w:val="00AA3DAF"/>
    <w:rsid w:val="00AA415D"/>
    <w:rsid w:val="00AA4778"/>
    <w:rsid w:val="00AA5267"/>
    <w:rsid w:val="00AA56CE"/>
    <w:rsid w:val="00AA636B"/>
    <w:rsid w:val="00AA67B1"/>
    <w:rsid w:val="00AA6C80"/>
    <w:rsid w:val="00AB4DBD"/>
    <w:rsid w:val="00AB5A9E"/>
    <w:rsid w:val="00AC30C2"/>
    <w:rsid w:val="00AC34D4"/>
    <w:rsid w:val="00AC4066"/>
    <w:rsid w:val="00AC566C"/>
    <w:rsid w:val="00AC7C23"/>
    <w:rsid w:val="00AD0ACE"/>
    <w:rsid w:val="00AD288E"/>
    <w:rsid w:val="00AD2D9F"/>
    <w:rsid w:val="00AD344A"/>
    <w:rsid w:val="00AD51D5"/>
    <w:rsid w:val="00AD555F"/>
    <w:rsid w:val="00AD5F05"/>
    <w:rsid w:val="00AD6806"/>
    <w:rsid w:val="00AE02AE"/>
    <w:rsid w:val="00AE276F"/>
    <w:rsid w:val="00AE2A26"/>
    <w:rsid w:val="00AE3987"/>
    <w:rsid w:val="00AE3DD1"/>
    <w:rsid w:val="00AE4C14"/>
    <w:rsid w:val="00AE6C65"/>
    <w:rsid w:val="00AF1312"/>
    <w:rsid w:val="00AF17C8"/>
    <w:rsid w:val="00AF2B62"/>
    <w:rsid w:val="00AF2EBF"/>
    <w:rsid w:val="00AF5B21"/>
    <w:rsid w:val="00AF627E"/>
    <w:rsid w:val="00AF7C9E"/>
    <w:rsid w:val="00B010DE"/>
    <w:rsid w:val="00B02CB6"/>
    <w:rsid w:val="00B03CBB"/>
    <w:rsid w:val="00B04FA5"/>
    <w:rsid w:val="00B04FFB"/>
    <w:rsid w:val="00B06852"/>
    <w:rsid w:val="00B07A54"/>
    <w:rsid w:val="00B1090C"/>
    <w:rsid w:val="00B12766"/>
    <w:rsid w:val="00B12DBF"/>
    <w:rsid w:val="00B14042"/>
    <w:rsid w:val="00B14ED6"/>
    <w:rsid w:val="00B154F1"/>
    <w:rsid w:val="00B161E3"/>
    <w:rsid w:val="00B16684"/>
    <w:rsid w:val="00B16938"/>
    <w:rsid w:val="00B171E8"/>
    <w:rsid w:val="00B17BFF"/>
    <w:rsid w:val="00B17CFF"/>
    <w:rsid w:val="00B225CF"/>
    <w:rsid w:val="00B2297C"/>
    <w:rsid w:val="00B22BD2"/>
    <w:rsid w:val="00B235CB"/>
    <w:rsid w:val="00B24695"/>
    <w:rsid w:val="00B24DEB"/>
    <w:rsid w:val="00B265D5"/>
    <w:rsid w:val="00B27045"/>
    <w:rsid w:val="00B32104"/>
    <w:rsid w:val="00B36212"/>
    <w:rsid w:val="00B37C85"/>
    <w:rsid w:val="00B40190"/>
    <w:rsid w:val="00B4025A"/>
    <w:rsid w:val="00B40FC2"/>
    <w:rsid w:val="00B410A3"/>
    <w:rsid w:val="00B444AC"/>
    <w:rsid w:val="00B44A49"/>
    <w:rsid w:val="00B44B0B"/>
    <w:rsid w:val="00B47195"/>
    <w:rsid w:val="00B47B13"/>
    <w:rsid w:val="00B50D27"/>
    <w:rsid w:val="00B51298"/>
    <w:rsid w:val="00B51977"/>
    <w:rsid w:val="00B5294E"/>
    <w:rsid w:val="00B54274"/>
    <w:rsid w:val="00B54755"/>
    <w:rsid w:val="00B55119"/>
    <w:rsid w:val="00B55212"/>
    <w:rsid w:val="00B55E22"/>
    <w:rsid w:val="00B56260"/>
    <w:rsid w:val="00B627C6"/>
    <w:rsid w:val="00B63EAB"/>
    <w:rsid w:val="00B6486E"/>
    <w:rsid w:val="00B65AAC"/>
    <w:rsid w:val="00B65CE1"/>
    <w:rsid w:val="00B66989"/>
    <w:rsid w:val="00B66BBB"/>
    <w:rsid w:val="00B742BA"/>
    <w:rsid w:val="00B74D31"/>
    <w:rsid w:val="00B80327"/>
    <w:rsid w:val="00B80A9A"/>
    <w:rsid w:val="00B82FF7"/>
    <w:rsid w:val="00B832B8"/>
    <w:rsid w:val="00B85B02"/>
    <w:rsid w:val="00B901B1"/>
    <w:rsid w:val="00B90CCD"/>
    <w:rsid w:val="00B93003"/>
    <w:rsid w:val="00B9388C"/>
    <w:rsid w:val="00B97377"/>
    <w:rsid w:val="00BA016A"/>
    <w:rsid w:val="00BA08ED"/>
    <w:rsid w:val="00BA1ACF"/>
    <w:rsid w:val="00BA3CCD"/>
    <w:rsid w:val="00BA3FFC"/>
    <w:rsid w:val="00BA5444"/>
    <w:rsid w:val="00BB0CDA"/>
    <w:rsid w:val="00BB0D93"/>
    <w:rsid w:val="00BB12DF"/>
    <w:rsid w:val="00BB1F2B"/>
    <w:rsid w:val="00BB2016"/>
    <w:rsid w:val="00BB4B65"/>
    <w:rsid w:val="00BB5080"/>
    <w:rsid w:val="00BB6885"/>
    <w:rsid w:val="00BB6AEA"/>
    <w:rsid w:val="00BB7431"/>
    <w:rsid w:val="00BB75E1"/>
    <w:rsid w:val="00BC02DD"/>
    <w:rsid w:val="00BC0589"/>
    <w:rsid w:val="00BC05D2"/>
    <w:rsid w:val="00BC0F1A"/>
    <w:rsid w:val="00BC2083"/>
    <w:rsid w:val="00BC2598"/>
    <w:rsid w:val="00BC4AE3"/>
    <w:rsid w:val="00BC524B"/>
    <w:rsid w:val="00BC5376"/>
    <w:rsid w:val="00BC7140"/>
    <w:rsid w:val="00BC75CB"/>
    <w:rsid w:val="00BD09F2"/>
    <w:rsid w:val="00BD0FCF"/>
    <w:rsid w:val="00BD2197"/>
    <w:rsid w:val="00BD3DE6"/>
    <w:rsid w:val="00BD6A44"/>
    <w:rsid w:val="00BD745E"/>
    <w:rsid w:val="00BD7850"/>
    <w:rsid w:val="00BE3D15"/>
    <w:rsid w:val="00BE44F5"/>
    <w:rsid w:val="00BE4A0A"/>
    <w:rsid w:val="00BE5113"/>
    <w:rsid w:val="00BE7281"/>
    <w:rsid w:val="00BF2038"/>
    <w:rsid w:val="00BF218B"/>
    <w:rsid w:val="00BF32A9"/>
    <w:rsid w:val="00BF360C"/>
    <w:rsid w:val="00BF4596"/>
    <w:rsid w:val="00BF7638"/>
    <w:rsid w:val="00C0147F"/>
    <w:rsid w:val="00C07CD1"/>
    <w:rsid w:val="00C07E81"/>
    <w:rsid w:val="00C10244"/>
    <w:rsid w:val="00C12EA7"/>
    <w:rsid w:val="00C166AE"/>
    <w:rsid w:val="00C16CCE"/>
    <w:rsid w:val="00C21FAB"/>
    <w:rsid w:val="00C22142"/>
    <w:rsid w:val="00C23257"/>
    <w:rsid w:val="00C23A06"/>
    <w:rsid w:val="00C2406F"/>
    <w:rsid w:val="00C24513"/>
    <w:rsid w:val="00C251D9"/>
    <w:rsid w:val="00C25374"/>
    <w:rsid w:val="00C26194"/>
    <w:rsid w:val="00C26B24"/>
    <w:rsid w:val="00C27887"/>
    <w:rsid w:val="00C27FD5"/>
    <w:rsid w:val="00C30EFF"/>
    <w:rsid w:val="00C31684"/>
    <w:rsid w:val="00C31EE4"/>
    <w:rsid w:val="00C32FBD"/>
    <w:rsid w:val="00C33F1F"/>
    <w:rsid w:val="00C34A05"/>
    <w:rsid w:val="00C35707"/>
    <w:rsid w:val="00C4042A"/>
    <w:rsid w:val="00C409A9"/>
    <w:rsid w:val="00C40B67"/>
    <w:rsid w:val="00C43845"/>
    <w:rsid w:val="00C43A19"/>
    <w:rsid w:val="00C43C23"/>
    <w:rsid w:val="00C440E5"/>
    <w:rsid w:val="00C44921"/>
    <w:rsid w:val="00C4586D"/>
    <w:rsid w:val="00C459F4"/>
    <w:rsid w:val="00C463E1"/>
    <w:rsid w:val="00C46A84"/>
    <w:rsid w:val="00C47AD4"/>
    <w:rsid w:val="00C50351"/>
    <w:rsid w:val="00C508D2"/>
    <w:rsid w:val="00C5104C"/>
    <w:rsid w:val="00C51793"/>
    <w:rsid w:val="00C519A7"/>
    <w:rsid w:val="00C528AE"/>
    <w:rsid w:val="00C554B5"/>
    <w:rsid w:val="00C57421"/>
    <w:rsid w:val="00C608F5"/>
    <w:rsid w:val="00C60929"/>
    <w:rsid w:val="00C61C49"/>
    <w:rsid w:val="00C624B2"/>
    <w:rsid w:val="00C62A4F"/>
    <w:rsid w:val="00C6333D"/>
    <w:rsid w:val="00C6458E"/>
    <w:rsid w:val="00C66026"/>
    <w:rsid w:val="00C70130"/>
    <w:rsid w:val="00C74597"/>
    <w:rsid w:val="00C764C8"/>
    <w:rsid w:val="00C77D36"/>
    <w:rsid w:val="00C80FA0"/>
    <w:rsid w:val="00C82EF8"/>
    <w:rsid w:val="00C83483"/>
    <w:rsid w:val="00C83DE7"/>
    <w:rsid w:val="00C863A3"/>
    <w:rsid w:val="00C8771B"/>
    <w:rsid w:val="00C902EE"/>
    <w:rsid w:val="00C90767"/>
    <w:rsid w:val="00C91A0F"/>
    <w:rsid w:val="00C9446E"/>
    <w:rsid w:val="00C94634"/>
    <w:rsid w:val="00C94F66"/>
    <w:rsid w:val="00C94FFC"/>
    <w:rsid w:val="00C95E39"/>
    <w:rsid w:val="00C974A4"/>
    <w:rsid w:val="00C9795E"/>
    <w:rsid w:val="00C97985"/>
    <w:rsid w:val="00C97BCA"/>
    <w:rsid w:val="00CA0FAF"/>
    <w:rsid w:val="00CA285B"/>
    <w:rsid w:val="00CA3818"/>
    <w:rsid w:val="00CA5545"/>
    <w:rsid w:val="00CA5BCF"/>
    <w:rsid w:val="00CA61B6"/>
    <w:rsid w:val="00CA630B"/>
    <w:rsid w:val="00CA7859"/>
    <w:rsid w:val="00CB13D1"/>
    <w:rsid w:val="00CB25CD"/>
    <w:rsid w:val="00CB3261"/>
    <w:rsid w:val="00CB5777"/>
    <w:rsid w:val="00CB5CEF"/>
    <w:rsid w:val="00CB7403"/>
    <w:rsid w:val="00CC234C"/>
    <w:rsid w:val="00CC301D"/>
    <w:rsid w:val="00CC374A"/>
    <w:rsid w:val="00CC5114"/>
    <w:rsid w:val="00CC5BB1"/>
    <w:rsid w:val="00CC74AB"/>
    <w:rsid w:val="00CD02F7"/>
    <w:rsid w:val="00CD1B1F"/>
    <w:rsid w:val="00CD296F"/>
    <w:rsid w:val="00CD33D7"/>
    <w:rsid w:val="00CD474E"/>
    <w:rsid w:val="00CD70FD"/>
    <w:rsid w:val="00CD7FDE"/>
    <w:rsid w:val="00CE0788"/>
    <w:rsid w:val="00CE1498"/>
    <w:rsid w:val="00CE16BA"/>
    <w:rsid w:val="00CE2BDB"/>
    <w:rsid w:val="00CE3CAF"/>
    <w:rsid w:val="00CE70E3"/>
    <w:rsid w:val="00CE76B1"/>
    <w:rsid w:val="00CE78E8"/>
    <w:rsid w:val="00CE7C95"/>
    <w:rsid w:val="00CF0415"/>
    <w:rsid w:val="00CF146B"/>
    <w:rsid w:val="00CF4035"/>
    <w:rsid w:val="00CF512C"/>
    <w:rsid w:val="00CF5144"/>
    <w:rsid w:val="00CF5222"/>
    <w:rsid w:val="00CF6272"/>
    <w:rsid w:val="00CF77AE"/>
    <w:rsid w:val="00D00E32"/>
    <w:rsid w:val="00D00EE5"/>
    <w:rsid w:val="00D0233F"/>
    <w:rsid w:val="00D0305E"/>
    <w:rsid w:val="00D03EAB"/>
    <w:rsid w:val="00D03FAB"/>
    <w:rsid w:val="00D06B4F"/>
    <w:rsid w:val="00D14A04"/>
    <w:rsid w:val="00D15185"/>
    <w:rsid w:val="00D1549D"/>
    <w:rsid w:val="00D16676"/>
    <w:rsid w:val="00D17356"/>
    <w:rsid w:val="00D209EF"/>
    <w:rsid w:val="00D21F65"/>
    <w:rsid w:val="00D22967"/>
    <w:rsid w:val="00D243B9"/>
    <w:rsid w:val="00D24F92"/>
    <w:rsid w:val="00D30D42"/>
    <w:rsid w:val="00D3216F"/>
    <w:rsid w:val="00D32ABF"/>
    <w:rsid w:val="00D334C7"/>
    <w:rsid w:val="00D35EB9"/>
    <w:rsid w:val="00D36DDD"/>
    <w:rsid w:val="00D40ADD"/>
    <w:rsid w:val="00D4174B"/>
    <w:rsid w:val="00D4393A"/>
    <w:rsid w:val="00D44634"/>
    <w:rsid w:val="00D5002A"/>
    <w:rsid w:val="00D50B20"/>
    <w:rsid w:val="00D52974"/>
    <w:rsid w:val="00D52F3C"/>
    <w:rsid w:val="00D55E4B"/>
    <w:rsid w:val="00D56F98"/>
    <w:rsid w:val="00D603EC"/>
    <w:rsid w:val="00D60A52"/>
    <w:rsid w:val="00D62945"/>
    <w:rsid w:val="00D6297F"/>
    <w:rsid w:val="00D64C62"/>
    <w:rsid w:val="00D653C3"/>
    <w:rsid w:val="00D65F19"/>
    <w:rsid w:val="00D70929"/>
    <w:rsid w:val="00D70A12"/>
    <w:rsid w:val="00D719CF"/>
    <w:rsid w:val="00D72248"/>
    <w:rsid w:val="00D7691B"/>
    <w:rsid w:val="00D8080B"/>
    <w:rsid w:val="00D81291"/>
    <w:rsid w:val="00D81F82"/>
    <w:rsid w:val="00D82A12"/>
    <w:rsid w:val="00D84D4B"/>
    <w:rsid w:val="00D8597F"/>
    <w:rsid w:val="00D9035E"/>
    <w:rsid w:val="00D9114B"/>
    <w:rsid w:val="00D91AB6"/>
    <w:rsid w:val="00D92A5A"/>
    <w:rsid w:val="00D9319B"/>
    <w:rsid w:val="00D940A2"/>
    <w:rsid w:val="00D944FA"/>
    <w:rsid w:val="00D95029"/>
    <w:rsid w:val="00D96771"/>
    <w:rsid w:val="00D970C3"/>
    <w:rsid w:val="00D97F4F"/>
    <w:rsid w:val="00DA000A"/>
    <w:rsid w:val="00DA049B"/>
    <w:rsid w:val="00DA0DF6"/>
    <w:rsid w:val="00DA0FC5"/>
    <w:rsid w:val="00DA1AC1"/>
    <w:rsid w:val="00DA2F48"/>
    <w:rsid w:val="00DA3D27"/>
    <w:rsid w:val="00DA546F"/>
    <w:rsid w:val="00DA713C"/>
    <w:rsid w:val="00DB203F"/>
    <w:rsid w:val="00DB2AB4"/>
    <w:rsid w:val="00DB330E"/>
    <w:rsid w:val="00DB49F8"/>
    <w:rsid w:val="00DB4D88"/>
    <w:rsid w:val="00DC0529"/>
    <w:rsid w:val="00DC0F47"/>
    <w:rsid w:val="00DC179F"/>
    <w:rsid w:val="00DC24EE"/>
    <w:rsid w:val="00DC2D60"/>
    <w:rsid w:val="00DC3675"/>
    <w:rsid w:val="00DC421A"/>
    <w:rsid w:val="00DC578F"/>
    <w:rsid w:val="00DC6DCE"/>
    <w:rsid w:val="00DC7994"/>
    <w:rsid w:val="00DD0A4C"/>
    <w:rsid w:val="00DD1B45"/>
    <w:rsid w:val="00DD1CD6"/>
    <w:rsid w:val="00DD7997"/>
    <w:rsid w:val="00DD7CA8"/>
    <w:rsid w:val="00DE24AB"/>
    <w:rsid w:val="00DE4C5E"/>
    <w:rsid w:val="00DE6AD7"/>
    <w:rsid w:val="00DE7076"/>
    <w:rsid w:val="00DF0830"/>
    <w:rsid w:val="00DF207F"/>
    <w:rsid w:val="00DF2350"/>
    <w:rsid w:val="00DF4386"/>
    <w:rsid w:val="00DF5571"/>
    <w:rsid w:val="00DF56C4"/>
    <w:rsid w:val="00DF611B"/>
    <w:rsid w:val="00E0175A"/>
    <w:rsid w:val="00E023A3"/>
    <w:rsid w:val="00E03C96"/>
    <w:rsid w:val="00E0656E"/>
    <w:rsid w:val="00E06A52"/>
    <w:rsid w:val="00E10327"/>
    <w:rsid w:val="00E10A8E"/>
    <w:rsid w:val="00E11191"/>
    <w:rsid w:val="00E122BF"/>
    <w:rsid w:val="00E1315C"/>
    <w:rsid w:val="00E157E1"/>
    <w:rsid w:val="00E16E69"/>
    <w:rsid w:val="00E21376"/>
    <w:rsid w:val="00E2200A"/>
    <w:rsid w:val="00E23157"/>
    <w:rsid w:val="00E248D2"/>
    <w:rsid w:val="00E30394"/>
    <w:rsid w:val="00E3498D"/>
    <w:rsid w:val="00E3536D"/>
    <w:rsid w:val="00E354F4"/>
    <w:rsid w:val="00E35841"/>
    <w:rsid w:val="00E3585F"/>
    <w:rsid w:val="00E358FF"/>
    <w:rsid w:val="00E36A2D"/>
    <w:rsid w:val="00E41112"/>
    <w:rsid w:val="00E426AD"/>
    <w:rsid w:val="00E442EF"/>
    <w:rsid w:val="00E459CE"/>
    <w:rsid w:val="00E45A3A"/>
    <w:rsid w:val="00E47FB8"/>
    <w:rsid w:val="00E50187"/>
    <w:rsid w:val="00E51D91"/>
    <w:rsid w:val="00E52511"/>
    <w:rsid w:val="00E528B7"/>
    <w:rsid w:val="00E52C79"/>
    <w:rsid w:val="00E53F5C"/>
    <w:rsid w:val="00E54235"/>
    <w:rsid w:val="00E544DF"/>
    <w:rsid w:val="00E56343"/>
    <w:rsid w:val="00E57C97"/>
    <w:rsid w:val="00E60145"/>
    <w:rsid w:val="00E634D4"/>
    <w:rsid w:val="00E64028"/>
    <w:rsid w:val="00E64D4D"/>
    <w:rsid w:val="00E64E40"/>
    <w:rsid w:val="00E66814"/>
    <w:rsid w:val="00E71700"/>
    <w:rsid w:val="00E71C11"/>
    <w:rsid w:val="00E73FFA"/>
    <w:rsid w:val="00E776A5"/>
    <w:rsid w:val="00E80550"/>
    <w:rsid w:val="00E80EED"/>
    <w:rsid w:val="00E82222"/>
    <w:rsid w:val="00E830BC"/>
    <w:rsid w:val="00E83261"/>
    <w:rsid w:val="00E83370"/>
    <w:rsid w:val="00E83F7D"/>
    <w:rsid w:val="00E849BE"/>
    <w:rsid w:val="00E84B1A"/>
    <w:rsid w:val="00E84E2B"/>
    <w:rsid w:val="00E85AC3"/>
    <w:rsid w:val="00E85BC4"/>
    <w:rsid w:val="00E93E67"/>
    <w:rsid w:val="00E94174"/>
    <w:rsid w:val="00E9429A"/>
    <w:rsid w:val="00E94AD9"/>
    <w:rsid w:val="00E94B67"/>
    <w:rsid w:val="00E95467"/>
    <w:rsid w:val="00EA0541"/>
    <w:rsid w:val="00EA0F26"/>
    <w:rsid w:val="00EA140A"/>
    <w:rsid w:val="00EA1DEE"/>
    <w:rsid w:val="00EA247B"/>
    <w:rsid w:val="00EA2A21"/>
    <w:rsid w:val="00EA34CC"/>
    <w:rsid w:val="00EA4C7E"/>
    <w:rsid w:val="00EB2041"/>
    <w:rsid w:val="00EB2FFC"/>
    <w:rsid w:val="00EB407F"/>
    <w:rsid w:val="00EB4400"/>
    <w:rsid w:val="00EB4B3D"/>
    <w:rsid w:val="00EB64F5"/>
    <w:rsid w:val="00EB65B1"/>
    <w:rsid w:val="00EB6E2B"/>
    <w:rsid w:val="00EB6F41"/>
    <w:rsid w:val="00EC1DE4"/>
    <w:rsid w:val="00EC1EB1"/>
    <w:rsid w:val="00EC28A5"/>
    <w:rsid w:val="00EC34DC"/>
    <w:rsid w:val="00EC3B06"/>
    <w:rsid w:val="00EC3C46"/>
    <w:rsid w:val="00EC3E99"/>
    <w:rsid w:val="00EC712D"/>
    <w:rsid w:val="00EC7687"/>
    <w:rsid w:val="00EC7D94"/>
    <w:rsid w:val="00ED2BD8"/>
    <w:rsid w:val="00ED2E19"/>
    <w:rsid w:val="00ED31C7"/>
    <w:rsid w:val="00ED5250"/>
    <w:rsid w:val="00ED635D"/>
    <w:rsid w:val="00EE21B1"/>
    <w:rsid w:val="00EE29AE"/>
    <w:rsid w:val="00EE4FEF"/>
    <w:rsid w:val="00EE6FC9"/>
    <w:rsid w:val="00EF0DC5"/>
    <w:rsid w:val="00EF314E"/>
    <w:rsid w:val="00EF31FB"/>
    <w:rsid w:val="00EF7D1B"/>
    <w:rsid w:val="00F00991"/>
    <w:rsid w:val="00F01B9C"/>
    <w:rsid w:val="00F01FEE"/>
    <w:rsid w:val="00F04C13"/>
    <w:rsid w:val="00F06491"/>
    <w:rsid w:val="00F06F4E"/>
    <w:rsid w:val="00F108F2"/>
    <w:rsid w:val="00F136FF"/>
    <w:rsid w:val="00F13AEE"/>
    <w:rsid w:val="00F14501"/>
    <w:rsid w:val="00F1557C"/>
    <w:rsid w:val="00F160C3"/>
    <w:rsid w:val="00F1761F"/>
    <w:rsid w:val="00F222E5"/>
    <w:rsid w:val="00F251BB"/>
    <w:rsid w:val="00F27631"/>
    <w:rsid w:val="00F312B0"/>
    <w:rsid w:val="00F32CA8"/>
    <w:rsid w:val="00F33189"/>
    <w:rsid w:val="00F33270"/>
    <w:rsid w:val="00F3344B"/>
    <w:rsid w:val="00F337DE"/>
    <w:rsid w:val="00F34619"/>
    <w:rsid w:val="00F34B81"/>
    <w:rsid w:val="00F3542C"/>
    <w:rsid w:val="00F356C7"/>
    <w:rsid w:val="00F36CF5"/>
    <w:rsid w:val="00F41584"/>
    <w:rsid w:val="00F41DE7"/>
    <w:rsid w:val="00F42915"/>
    <w:rsid w:val="00F42AAD"/>
    <w:rsid w:val="00F43073"/>
    <w:rsid w:val="00F446F5"/>
    <w:rsid w:val="00F47D61"/>
    <w:rsid w:val="00F50EE6"/>
    <w:rsid w:val="00F52A02"/>
    <w:rsid w:val="00F5370A"/>
    <w:rsid w:val="00F57572"/>
    <w:rsid w:val="00F621F3"/>
    <w:rsid w:val="00F623FB"/>
    <w:rsid w:val="00F645DE"/>
    <w:rsid w:val="00F66605"/>
    <w:rsid w:val="00F666D6"/>
    <w:rsid w:val="00F672EC"/>
    <w:rsid w:val="00F6762D"/>
    <w:rsid w:val="00F67934"/>
    <w:rsid w:val="00F7018B"/>
    <w:rsid w:val="00F70AD8"/>
    <w:rsid w:val="00F70C11"/>
    <w:rsid w:val="00F71760"/>
    <w:rsid w:val="00F71902"/>
    <w:rsid w:val="00F756AE"/>
    <w:rsid w:val="00F75722"/>
    <w:rsid w:val="00F75CDB"/>
    <w:rsid w:val="00F76599"/>
    <w:rsid w:val="00F76ADA"/>
    <w:rsid w:val="00F77139"/>
    <w:rsid w:val="00F815CD"/>
    <w:rsid w:val="00F82626"/>
    <w:rsid w:val="00F84EB3"/>
    <w:rsid w:val="00F85379"/>
    <w:rsid w:val="00F85F8F"/>
    <w:rsid w:val="00F87A63"/>
    <w:rsid w:val="00F905D4"/>
    <w:rsid w:val="00F9084B"/>
    <w:rsid w:val="00F90D37"/>
    <w:rsid w:val="00F91339"/>
    <w:rsid w:val="00F91462"/>
    <w:rsid w:val="00F93263"/>
    <w:rsid w:val="00F94816"/>
    <w:rsid w:val="00F955A2"/>
    <w:rsid w:val="00F96229"/>
    <w:rsid w:val="00F97A06"/>
    <w:rsid w:val="00FA005A"/>
    <w:rsid w:val="00FA2679"/>
    <w:rsid w:val="00FA3C5E"/>
    <w:rsid w:val="00FA4BD2"/>
    <w:rsid w:val="00FA5131"/>
    <w:rsid w:val="00FA5281"/>
    <w:rsid w:val="00FA559A"/>
    <w:rsid w:val="00FB0E4E"/>
    <w:rsid w:val="00FB189D"/>
    <w:rsid w:val="00FB20C8"/>
    <w:rsid w:val="00FB3130"/>
    <w:rsid w:val="00FB609F"/>
    <w:rsid w:val="00FB6273"/>
    <w:rsid w:val="00FC12DC"/>
    <w:rsid w:val="00FC1B7A"/>
    <w:rsid w:val="00FC2A36"/>
    <w:rsid w:val="00FC4552"/>
    <w:rsid w:val="00FC5AE2"/>
    <w:rsid w:val="00FC7EE7"/>
    <w:rsid w:val="00FD1BC7"/>
    <w:rsid w:val="00FD1DC4"/>
    <w:rsid w:val="00FD4A34"/>
    <w:rsid w:val="00FD5B67"/>
    <w:rsid w:val="00FD6074"/>
    <w:rsid w:val="00FE1803"/>
    <w:rsid w:val="00FE4B36"/>
    <w:rsid w:val="00FE5DE0"/>
    <w:rsid w:val="00FE604E"/>
    <w:rsid w:val="00FE6A23"/>
    <w:rsid w:val="00FE7315"/>
    <w:rsid w:val="00FE774A"/>
    <w:rsid w:val="00FF141C"/>
    <w:rsid w:val="00FF1EED"/>
    <w:rsid w:val="00FF2442"/>
    <w:rsid w:val="00FF34AF"/>
    <w:rsid w:val="00FF398F"/>
    <w:rsid w:val="00FF48EC"/>
    <w:rsid w:val="00FF6111"/>
    <w:rsid w:val="00FF6A46"/>
    <w:rsid w:val="00FF7C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ED2E19"/>
    <w:pPr>
      <w:keepNext/>
      <w:keepLines/>
      <w:numPr>
        <w:numId w:val="2"/>
      </w:numPr>
      <w:spacing w:before="480" w:after="240"/>
      <w:ind w:left="360"/>
      <w:outlineLvl w:val="0"/>
    </w:pPr>
    <w:rPr>
      <w:rFonts w:ascii="Arial" w:eastAsiaTheme="majorEastAsia" w:hAnsi="Arial" w:cs="Arial"/>
      <w:b/>
      <w:bCs/>
      <w:sz w:val="28"/>
      <w:szCs w:val="32"/>
    </w:rPr>
  </w:style>
  <w:style w:type="paragraph" w:styleId="Nadpis2">
    <w:name w:val="heading 2"/>
    <w:basedOn w:val="Nadpis1"/>
    <w:next w:val="Normln"/>
    <w:link w:val="Nadpis2Char"/>
    <w:uiPriority w:val="9"/>
    <w:unhideWhenUsed/>
    <w:qFormat/>
    <w:rsid w:val="00CB5777"/>
    <w:pPr>
      <w:numPr>
        <w:ilvl w:val="1"/>
      </w:numPr>
      <w:spacing w:before="240" w:after="120"/>
      <w:ind w:left="432"/>
      <w:outlineLvl w:val="1"/>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2E19"/>
    <w:rPr>
      <w:rFonts w:ascii="Arial" w:eastAsiaTheme="majorEastAsia" w:hAnsi="Arial" w:cs="Arial"/>
      <w:b/>
      <w:bCs/>
      <w:sz w:val="28"/>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CB5777"/>
    <w:rPr>
      <w:rFonts w:ascii="Arial" w:eastAsiaTheme="majorEastAsia" w:hAnsi="Arial" w:cs="Arial"/>
      <w:b/>
      <w:bCs/>
      <w:sz w:val="24"/>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semiHidden/>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A08"/>
    <w:pPr>
      <w:spacing w:before="120" w:line="276" w:lineRule="auto"/>
      <w:jc w:val="both"/>
    </w:pPr>
    <w:rPr>
      <w:rFonts w:eastAsia="Arial Unicode MS"/>
      <w:sz w:val="22"/>
      <w:szCs w:val="22"/>
      <w:u w:color="000000"/>
    </w:rPr>
  </w:style>
  <w:style w:type="paragraph" w:styleId="Nadpis1">
    <w:name w:val="heading 1"/>
    <w:basedOn w:val="Normln"/>
    <w:next w:val="Normln"/>
    <w:link w:val="Nadpis1Char"/>
    <w:uiPriority w:val="9"/>
    <w:qFormat/>
    <w:rsid w:val="00ED2E19"/>
    <w:pPr>
      <w:keepNext/>
      <w:keepLines/>
      <w:numPr>
        <w:numId w:val="2"/>
      </w:numPr>
      <w:spacing w:before="480" w:after="240"/>
      <w:ind w:left="360"/>
      <w:outlineLvl w:val="0"/>
    </w:pPr>
    <w:rPr>
      <w:rFonts w:ascii="Arial" w:eastAsiaTheme="majorEastAsia" w:hAnsi="Arial" w:cs="Arial"/>
      <w:b/>
      <w:bCs/>
      <w:sz w:val="28"/>
      <w:szCs w:val="32"/>
    </w:rPr>
  </w:style>
  <w:style w:type="paragraph" w:styleId="Nadpis2">
    <w:name w:val="heading 2"/>
    <w:basedOn w:val="Nadpis1"/>
    <w:next w:val="Normln"/>
    <w:link w:val="Nadpis2Char"/>
    <w:uiPriority w:val="9"/>
    <w:unhideWhenUsed/>
    <w:qFormat/>
    <w:rsid w:val="00CB5777"/>
    <w:pPr>
      <w:numPr>
        <w:ilvl w:val="1"/>
      </w:numPr>
      <w:spacing w:before="240" w:after="120"/>
      <w:ind w:left="432"/>
      <w:outlineLvl w:val="1"/>
    </w:pPr>
    <w:rPr>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2E19"/>
    <w:rPr>
      <w:rFonts w:ascii="Arial" w:eastAsiaTheme="majorEastAsia" w:hAnsi="Arial" w:cs="Arial"/>
      <w:b/>
      <w:bCs/>
      <w:sz w:val="28"/>
      <w:szCs w:val="32"/>
      <w:u w:color="000000"/>
    </w:rPr>
  </w:style>
  <w:style w:type="character" w:styleId="Siln">
    <w:name w:val="Strong"/>
    <w:basedOn w:val="Standardnpsmoodstavce"/>
    <w:uiPriority w:val="22"/>
    <w:qFormat/>
    <w:rsid w:val="00754A08"/>
    <w:rPr>
      <w:b/>
      <w:bCs/>
      <w:sz w:val="36"/>
      <w:szCs w:val="36"/>
    </w:rPr>
  </w:style>
  <w:style w:type="paragraph" w:styleId="Odstavecseseznamem">
    <w:name w:val="List Paragraph"/>
    <w:aliases w:val="Nad,Odstavec cíl se seznamem,Odstavec se seznamem5"/>
    <w:basedOn w:val="Normln"/>
    <w:link w:val="OdstavecseseznamemChar"/>
    <w:uiPriority w:val="34"/>
    <w:qFormat/>
    <w:rsid w:val="00754A08"/>
    <w:pPr>
      <w:spacing w:after="120"/>
      <w:ind w:left="720" w:hanging="284"/>
      <w:contextualSpacing/>
    </w:pPr>
    <w:rPr>
      <w:rFonts w:ascii="Calibri" w:hAnsi="Calibri" w:cs="Calibri"/>
      <w:lang w:eastAsia="en-US"/>
    </w:rPr>
  </w:style>
  <w:style w:type="paragraph" w:styleId="Nzev">
    <w:name w:val="Title"/>
    <w:basedOn w:val="Normln"/>
    <w:next w:val="Normln"/>
    <w:link w:val="NzevChar"/>
    <w:qFormat/>
    <w:rsid w:val="00754A08"/>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754A08"/>
    <w:rPr>
      <w:rFonts w:asciiTheme="majorHAnsi" w:eastAsiaTheme="majorEastAsia" w:hAnsiTheme="majorHAnsi" w:cstheme="majorBidi"/>
      <w:color w:val="17365D" w:themeColor="text2" w:themeShade="BF"/>
      <w:spacing w:val="5"/>
      <w:kern w:val="28"/>
      <w:sz w:val="52"/>
      <w:szCs w:val="52"/>
      <w:u w:color="000000"/>
    </w:rPr>
  </w:style>
  <w:style w:type="paragraph" w:styleId="Podtitul">
    <w:name w:val="Subtitle"/>
    <w:basedOn w:val="Normln"/>
    <w:next w:val="Normln"/>
    <w:link w:val="PodtitulChar"/>
    <w:uiPriority w:val="11"/>
    <w:qFormat/>
    <w:rsid w:val="00754A08"/>
    <w:pPr>
      <w:numPr>
        <w:ilvl w:val="1"/>
      </w:numPr>
      <w:spacing w:before="0" w:line="240" w:lineRule="auto"/>
      <w:jc w:val="center"/>
    </w:pPr>
    <w:rPr>
      <w:rFonts w:ascii="Arial" w:eastAsiaTheme="majorEastAsia" w:hAnsi="Arial" w:cs="Arial"/>
      <w:b/>
      <w:iCs/>
      <w:spacing w:val="15"/>
      <w:sz w:val="36"/>
      <w:szCs w:val="36"/>
    </w:rPr>
  </w:style>
  <w:style w:type="character" w:customStyle="1" w:styleId="PodtitulChar">
    <w:name w:val="Podtitul Char"/>
    <w:basedOn w:val="Standardnpsmoodstavce"/>
    <w:link w:val="Podtitul"/>
    <w:uiPriority w:val="11"/>
    <w:rsid w:val="00754A08"/>
    <w:rPr>
      <w:rFonts w:ascii="Arial" w:eastAsiaTheme="majorEastAsia" w:hAnsi="Arial" w:cs="Arial"/>
      <w:b/>
      <w:iCs/>
      <w:spacing w:val="15"/>
      <w:sz w:val="36"/>
      <w:szCs w:val="36"/>
      <w:u w:color="000000"/>
    </w:rPr>
  </w:style>
  <w:style w:type="paragraph" w:styleId="Textpoznpodarou">
    <w:name w:val="footnote text"/>
    <w:aliases w:val="Schriftart: 9 pt,Schriftart: 10 pt,Schriftart: 8 pt,Text poznámky pod čiarou 007,Footnote,Fußnotentextf,Geneva 9,Font: Geneva 9,Boston 10,f,pozn. pod čarou,Char,Text pozn. pod čarou1,Char Char Char1,Char Char1,Footnote Text Char1,o"/>
    <w:basedOn w:val="Normln"/>
    <w:link w:val="TextpoznpodarouChar"/>
    <w:uiPriority w:val="99"/>
    <w:unhideWhenUsed/>
    <w:qFormat/>
    <w:rsid w:val="009D4DEB"/>
    <w:pPr>
      <w:spacing w:before="0" w:line="240" w:lineRule="auto"/>
    </w:pPr>
    <w:rPr>
      <w:sz w:val="20"/>
      <w:szCs w:val="20"/>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 Char,o Char"/>
    <w:basedOn w:val="Standardnpsmoodstavce"/>
    <w:link w:val="Textpoznpodarou"/>
    <w:uiPriority w:val="99"/>
    <w:rsid w:val="009D4DEB"/>
    <w:rPr>
      <w:rFonts w:eastAsia="Arial Unicode MS"/>
      <w:u w:color="000000"/>
    </w:rPr>
  </w:style>
  <w:style w:type="character" w:styleId="Znakapoznpodarou">
    <w:name w:val="footnote reference"/>
    <w:aliases w:val="BVI fnr,Footnote symbol,Footnote Reference Superscript,Appel note de bas de p,Appel note de bas de page,Légende,Char Car Car Car Car,Voetnootverwijzing,Légende;Char Car Car Car Car,PGI Fußnote Ziffer,Légende.Char Car Car Car Car"/>
    <w:basedOn w:val="Standardnpsmoodstavce"/>
    <w:uiPriority w:val="99"/>
    <w:unhideWhenUsed/>
    <w:rsid w:val="009D4DEB"/>
    <w:rPr>
      <w:vertAlign w:val="superscript"/>
    </w:rPr>
  </w:style>
  <w:style w:type="paragraph" w:styleId="Nadpisobsahu">
    <w:name w:val="TOC Heading"/>
    <w:basedOn w:val="Nadpis1"/>
    <w:next w:val="Normln"/>
    <w:uiPriority w:val="39"/>
    <w:unhideWhenUsed/>
    <w:qFormat/>
    <w:rsid w:val="003736CE"/>
    <w:pPr>
      <w:numPr>
        <w:numId w:val="0"/>
      </w:numPr>
      <w:jc w:val="left"/>
      <w:outlineLvl w:val="9"/>
    </w:pPr>
    <w:rPr>
      <w:rFonts w:asciiTheme="majorHAnsi" w:hAnsiTheme="majorHAnsi" w:cstheme="majorBidi"/>
      <w:color w:val="365F91" w:themeColor="accent1" w:themeShade="BF"/>
      <w:lang w:eastAsia="en-US"/>
    </w:rPr>
  </w:style>
  <w:style w:type="paragraph" w:styleId="Obsah1">
    <w:name w:val="toc 1"/>
    <w:basedOn w:val="Normln"/>
    <w:next w:val="Normln"/>
    <w:autoRedefine/>
    <w:uiPriority w:val="39"/>
    <w:unhideWhenUsed/>
    <w:rsid w:val="003736CE"/>
    <w:pPr>
      <w:spacing w:after="100"/>
    </w:pPr>
  </w:style>
  <w:style w:type="character" w:styleId="Hypertextovodkaz">
    <w:name w:val="Hyperlink"/>
    <w:basedOn w:val="Standardnpsmoodstavce"/>
    <w:uiPriority w:val="99"/>
    <w:unhideWhenUsed/>
    <w:rsid w:val="003736CE"/>
    <w:rPr>
      <w:color w:val="0000FF" w:themeColor="hyperlink"/>
      <w:u w:val="single"/>
    </w:rPr>
  </w:style>
  <w:style w:type="paragraph" w:styleId="Textbubliny">
    <w:name w:val="Balloon Text"/>
    <w:basedOn w:val="Normln"/>
    <w:link w:val="TextbublinyChar"/>
    <w:uiPriority w:val="99"/>
    <w:semiHidden/>
    <w:unhideWhenUsed/>
    <w:rsid w:val="003736CE"/>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6CE"/>
    <w:rPr>
      <w:rFonts w:ascii="Tahoma" w:eastAsia="Arial Unicode MS" w:hAnsi="Tahoma" w:cs="Tahoma"/>
      <w:sz w:val="16"/>
      <w:szCs w:val="16"/>
      <w:u w:color="000000"/>
    </w:rPr>
  </w:style>
  <w:style w:type="table" w:styleId="Mkatabulky">
    <w:name w:val="Table Grid"/>
    <w:basedOn w:val="Normlntabulka"/>
    <w:uiPriority w:val="59"/>
    <w:rsid w:val="00856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724E7F"/>
    <w:pPr>
      <w:spacing w:after="40" w:line="240" w:lineRule="auto"/>
      <w:ind w:left="142"/>
    </w:pPr>
    <w:rPr>
      <w:b/>
      <w:bCs/>
    </w:rPr>
  </w:style>
  <w:style w:type="character" w:customStyle="1" w:styleId="Nadpis2Char">
    <w:name w:val="Nadpis 2 Char"/>
    <w:basedOn w:val="Standardnpsmoodstavce"/>
    <w:link w:val="Nadpis2"/>
    <w:uiPriority w:val="9"/>
    <w:rsid w:val="00CB5777"/>
    <w:rPr>
      <w:rFonts w:ascii="Arial" w:eastAsiaTheme="majorEastAsia" w:hAnsi="Arial" w:cs="Arial"/>
      <w:b/>
      <w:bCs/>
      <w:sz w:val="24"/>
      <w:szCs w:val="28"/>
      <w:u w:color="000000"/>
    </w:rPr>
  </w:style>
  <w:style w:type="paragraph" w:customStyle="1" w:styleId="Odstavecseseznamem1">
    <w:name w:val="Odstavec se seznamem1"/>
    <w:basedOn w:val="Normln"/>
    <w:link w:val="ListParagraphChar"/>
    <w:uiPriority w:val="34"/>
    <w:qFormat/>
    <w:rsid w:val="00923C91"/>
    <w:pPr>
      <w:spacing w:before="0" w:after="200"/>
      <w:ind w:left="720"/>
      <w:jc w:val="left"/>
    </w:pPr>
    <w:rPr>
      <w:rFonts w:ascii="Calibri" w:eastAsia="Times New Roman" w:hAnsi="Calibri" w:cs="Calibri"/>
      <w:lang w:eastAsia="en-US"/>
    </w:rPr>
  </w:style>
  <w:style w:type="character" w:customStyle="1" w:styleId="ListParagraphChar">
    <w:name w:val="List Paragraph Char"/>
    <w:basedOn w:val="Standardnpsmoodstavce"/>
    <w:link w:val="Odstavecseseznamem1"/>
    <w:uiPriority w:val="34"/>
    <w:locked/>
    <w:rsid w:val="00923C91"/>
    <w:rPr>
      <w:rFonts w:ascii="Calibri" w:hAnsi="Calibri" w:cs="Calibri"/>
      <w:sz w:val="22"/>
      <w:szCs w:val="22"/>
      <w:lang w:eastAsia="en-US"/>
    </w:rPr>
  </w:style>
  <w:style w:type="paragraph" w:styleId="Zhlav">
    <w:name w:val="header"/>
    <w:basedOn w:val="Normln"/>
    <w:link w:val="ZhlavChar"/>
    <w:uiPriority w:val="99"/>
    <w:unhideWhenUsed/>
    <w:rsid w:val="00A4479A"/>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A4479A"/>
    <w:rPr>
      <w:rFonts w:eastAsia="Arial Unicode MS"/>
      <w:sz w:val="22"/>
      <w:szCs w:val="22"/>
      <w:u w:color="000000"/>
    </w:rPr>
  </w:style>
  <w:style w:type="paragraph" w:styleId="Zpat">
    <w:name w:val="footer"/>
    <w:basedOn w:val="Normln"/>
    <w:link w:val="ZpatChar"/>
    <w:uiPriority w:val="99"/>
    <w:unhideWhenUsed/>
    <w:rsid w:val="00A4479A"/>
    <w:pPr>
      <w:tabs>
        <w:tab w:val="center" w:pos="4536"/>
        <w:tab w:val="right" w:pos="9072"/>
      </w:tabs>
      <w:spacing w:before="0" w:line="240" w:lineRule="auto"/>
    </w:pPr>
  </w:style>
  <w:style w:type="character" w:customStyle="1" w:styleId="ZpatChar">
    <w:name w:val="Zápatí Char"/>
    <w:basedOn w:val="Standardnpsmoodstavce"/>
    <w:link w:val="Zpat"/>
    <w:uiPriority w:val="99"/>
    <w:rsid w:val="00A4479A"/>
    <w:rPr>
      <w:rFonts w:eastAsia="Arial Unicode MS"/>
      <w:sz w:val="22"/>
      <w:szCs w:val="22"/>
      <w:u w:color="000000"/>
    </w:rPr>
  </w:style>
  <w:style w:type="paragraph" w:customStyle="1" w:styleId="List0">
    <w:name w:val="List 0"/>
    <w:basedOn w:val="Normln"/>
    <w:semiHidden/>
    <w:rsid w:val="00E06A52"/>
    <w:pPr>
      <w:numPr>
        <w:numId w:val="1"/>
      </w:numPr>
      <w:spacing w:before="0" w:line="240" w:lineRule="auto"/>
      <w:jc w:val="left"/>
    </w:pPr>
    <w:rPr>
      <w:rFonts w:eastAsia="Times New Roman"/>
      <w:sz w:val="20"/>
      <w:szCs w:val="20"/>
    </w:rPr>
  </w:style>
  <w:style w:type="character" w:styleId="Odkaznakoment">
    <w:name w:val="annotation reference"/>
    <w:basedOn w:val="Standardnpsmoodstavce"/>
    <w:uiPriority w:val="99"/>
    <w:semiHidden/>
    <w:rsid w:val="001870D9"/>
    <w:rPr>
      <w:sz w:val="16"/>
      <w:szCs w:val="16"/>
    </w:rPr>
  </w:style>
  <w:style w:type="character" w:customStyle="1" w:styleId="TextkomenteChar">
    <w:name w:val="Text komentáře Char"/>
    <w:basedOn w:val="Standardnpsmoodstavce"/>
    <w:link w:val="Textkomente"/>
    <w:uiPriority w:val="99"/>
    <w:semiHidden/>
    <w:rsid w:val="001870D9"/>
    <w:rPr>
      <w:rFonts w:ascii="Arial" w:hAnsi="Arial" w:cs="Arial"/>
    </w:rPr>
  </w:style>
  <w:style w:type="paragraph" w:styleId="Textkomente">
    <w:name w:val="annotation text"/>
    <w:basedOn w:val="Normln"/>
    <w:link w:val="TextkomenteChar"/>
    <w:uiPriority w:val="99"/>
    <w:semiHidden/>
    <w:rsid w:val="001870D9"/>
    <w:pPr>
      <w:spacing w:before="0" w:line="240" w:lineRule="auto"/>
      <w:jc w:val="left"/>
    </w:pPr>
    <w:rPr>
      <w:rFonts w:ascii="Arial" w:eastAsia="Times New Roman" w:hAnsi="Arial" w:cs="Arial"/>
      <w:sz w:val="20"/>
      <w:szCs w:val="20"/>
    </w:rPr>
  </w:style>
  <w:style w:type="character" w:customStyle="1" w:styleId="TextkomenteChar1">
    <w:name w:val="Text komentáře Char1"/>
    <w:basedOn w:val="Standardnpsmoodstavce"/>
    <w:uiPriority w:val="99"/>
    <w:semiHidden/>
    <w:rsid w:val="001870D9"/>
    <w:rPr>
      <w:rFonts w:eastAsia="Arial Unicode MS"/>
      <w:u w:color="000000"/>
    </w:rPr>
  </w:style>
  <w:style w:type="paragraph" w:styleId="Bezmezer">
    <w:name w:val="No Spacing"/>
    <w:uiPriority w:val="1"/>
    <w:qFormat/>
    <w:rsid w:val="00CD02F7"/>
    <w:pPr>
      <w:jc w:val="both"/>
    </w:pPr>
    <w:rPr>
      <w:rFonts w:eastAsia="Arial Unicode MS"/>
      <w:sz w:val="22"/>
      <w:szCs w:val="22"/>
      <w:u w:color="000000"/>
    </w:rPr>
  </w:style>
  <w:style w:type="paragraph" w:styleId="Prosttext">
    <w:name w:val="Plain Text"/>
    <w:basedOn w:val="Normln"/>
    <w:link w:val="ProsttextChar"/>
    <w:uiPriority w:val="99"/>
    <w:unhideWhenUsed/>
    <w:rsid w:val="008A145C"/>
    <w:pPr>
      <w:spacing w:before="0" w:line="240" w:lineRule="auto"/>
      <w:jc w:val="left"/>
    </w:pPr>
    <w:rPr>
      <w:rFonts w:ascii="Calibri" w:eastAsiaTheme="minorHAnsi" w:hAnsi="Calibri" w:cs="Consolas"/>
      <w:szCs w:val="21"/>
      <w:lang w:eastAsia="en-US"/>
    </w:rPr>
  </w:style>
  <w:style w:type="character" w:customStyle="1" w:styleId="ProsttextChar">
    <w:name w:val="Prostý text Char"/>
    <w:basedOn w:val="Standardnpsmoodstavce"/>
    <w:link w:val="Prosttext"/>
    <w:uiPriority w:val="99"/>
    <w:rsid w:val="008A145C"/>
    <w:rPr>
      <w:rFonts w:ascii="Calibri" w:eastAsiaTheme="minorHAnsi" w:hAnsi="Calibri" w:cs="Consolas"/>
      <w:sz w:val="22"/>
      <w:szCs w:val="21"/>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3016BD"/>
    <w:rPr>
      <w:rFonts w:ascii="Calibri" w:eastAsia="Arial Unicode MS" w:hAnsi="Calibri" w:cs="Calibri"/>
      <w:sz w:val="22"/>
      <w:szCs w:val="22"/>
      <w:u w:color="000000"/>
      <w:lang w:eastAsia="en-US"/>
    </w:rPr>
  </w:style>
  <w:style w:type="paragraph" w:customStyle="1" w:styleId="Seznam">
    <w:name w:val="*Seznam"/>
    <w:basedOn w:val="Zkladntext"/>
    <w:rsid w:val="006D0810"/>
    <w:pPr>
      <w:numPr>
        <w:numId w:val="3"/>
      </w:numPr>
      <w:tabs>
        <w:tab w:val="clear" w:pos="720"/>
      </w:tabs>
      <w:overflowPunct w:val="0"/>
      <w:autoSpaceDE w:val="0"/>
      <w:autoSpaceDN w:val="0"/>
      <w:adjustRightInd w:val="0"/>
      <w:spacing w:line="240" w:lineRule="auto"/>
      <w:ind w:left="714" w:hanging="357"/>
      <w:contextualSpacing/>
      <w:jc w:val="left"/>
      <w:textAlignment w:val="baseline"/>
    </w:pPr>
    <w:rPr>
      <w:rFonts w:eastAsia="Times New Roman"/>
      <w:sz w:val="24"/>
      <w:szCs w:val="20"/>
    </w:rPr>
  </w:style>
  <w:style w:type="paragraph" w:customStyle="1" w:styleId="TextNOK">
    <w:name w:val="Text NOK"/>
    <w:basedOn w:val="Normln"/>
    <w:link w:val="TextNOKChar"/>
    <w:uiPriority w:val="99"/>
    <w:qFormat/>
    <w:rsid w:val="006D0810"/>
    <w:pPr>
      <w:spacing w:before="60" w:after="60" w:line="312" w:lineRule="auto"/>
    </w:pPr>
    <w:rPr>
      <w:rFonts w:eastAsia="Times New Roman"/>
      <w:szCs w:val="24"/>
    </w:rPr>
  </w:style>
  <w:style w:type="character" w:customStyle="1" w:styleId="TextNOKChar">
    <w:name w:val="Text NOK Char"/>
    <w:basedOn w:val="Standardnpsmoodstavce"/>
    <w:link w:val="TextNOK"/>
    <w:uiPriority w:val="99"/>
    <w:locked/>
    <w:rsid w:val="006D0810"/>
    <w:rPr>
      <w:sz w:val="22"/>
      <w:szCs w:val="24"/>
    </w:rPr>
  </w:style>
  <w:style w:type="paragraph" w:styleId="Zkladntext">
    <w:name w:val="Body Text"/>
    <w:basedOn w:val="Normln"/>
    <w:link w:val="ZkladntextChar"/>
    <w:uiPriority w:val="99"/>
    <w:semiHidden/>
    <w:unhideWhenUsed/>
    <w:rsid w:val="006D0810"/>
    <w:pPr>
      <w:spacing w:after="120"/>
    </w:pPr>
  </w:style>
  <w:style w:type="character" w:customStyle="1" w:styleId="ZkladntextChar">
    <w:name w:val="Základní text Char"/>
    <w:basedOn w:val="Standardnpsmoodstavce"/>
    <w:link w:val="Zkladntext"/>
    <w:uiPriority w:val="99"/>
    <w:semiHidden/>
    <w:rsid w:val="006D0810"/>
    <w:rPr>
      <w:rFonts w:eastAsia="Arial Unicode MS"/>
      <w:sz w:val="22"/>
      <w:szCs w:val="22"/>
      <w:u w:color="000000"/>
    </w:rPr>
  </w:style>
  <w:style w:type="paragraph" w:customStyle="1" w:styleId="Styl2">
    <w:name w:val="Styl2"/>
    <w:basedOn w:val="Normln"/>
    <w:qFormat/>
    <w:rsid w:val="00123789"/>
    <w:pPr>
      <w:spacing w:before="60" w:after="60" w:line="288" w:lineRule="auto"/>
    </w:pPr>
    <w:rPr>
      <w:rFonts w:ascii="Arial" w:hAnsi="Arial"/>
      <w:sz w:val="20"/>
    </w:rPr>
  </w:style>
  <w:style w:type="paragraph" w:styleId="Revize">
    <w:name w:val="Revision"/>
    <w:hidden/>
    <w:uiPriority w:val="99"/>
    <w:semiHidden/>
    <w:rsid w:val="00623289"/>
    <w:rPr>
      <w:rFonts w:eastAsia="Arial Unicode MS"/>
      <w:sz w:val="22"/>
      <w:szCs w:val="22"/>
      <w:u w:color="000000"/>
    </w:rPr>
  </w:style>
  <w:style w:type="paragraph" w:styleId="Normlnweb">
    <w:name w:val="Normal (Web)"/>
    <w:basedOn w:val="Normln"/>
    <w:uiPriority w:val="99"/>
    <w:semiHidden/>
    <w:unhideWhenUsed/>
    <w:rsid w:val="00FC1B7A"/>
    <w:pPr>
      <w:spacing w:before="100" w:beforeAutospacing="1" w:after="100" w:afterAutospacing="1" w:line="240" w:lineRule="auto"/>
      <w:jc w:val="left"/>
    </w:pPr>
    <w:rPr>
      <w:rFonts w:eastAsia="Times New Roman"/>
      <w:sz w:val="24"/>
      <w:szCs w:val="24"/>
    </w:rPr>
  </w:style>
  <w:style w:type="paragraph" w:styleId="Obsah2">
    <w:name w:val="toc 2"/>
    <w:basedOn w:val="Normln"/>
    <w:next w:val="Normln"/>
    <w:autoRedefine/>
    <w:uiPriority w:val="39"/>
    <w:unhideWhenUsed/>
    <w:rsid w:val="000716F1"/>
    <w:pPr>
      <w:spacing w:after="100"/>
      <w:ind w:left="220"/>
    </w:pPr>
  </w:style>
  <w:style w:type="paragraph" w:customStyle="1" w:styleId="Tabulka">
    <w:name w:val="Tabulka"/>
    <w:basedOn w:val="Titulek"/>
    <w:link w:val="TabulkaChar"/>
    <w:qFormat/>
    <w:rsid w:val="00615420"/>
    <w:pPr>
      <w:spacing w:before="0" w:after="200"/>
      <w:ind w:left="0"/>
    </w:pPr>
    <w:rPr>
      <w:rFonts w:eastAsia="Times New Roman"/>
      <w:bCs w:val="0"/>
      <w:color w:val="4F81BD"/>
      <w:sz w:val="24"/>
      <w:szCs w:val="20"/>
    </w:rPr>
  </w:style>
  <w:style w:type="character" w:customStyle="1" w:styleId="TabulkaChar">
    <w:name w:val="Tabulka Char"/>
    <w:link w:val="Tabulka"/>
    <w:locked/>
    <w:rsid w:val="00615420"/>
    <w:rPr>
      <w:b/>
      <w:color w:val="4F81BD"/>
      <w:sz w:val="24"/>
    </w:rPr>
  </w:style>
  <w:style w:type="paragraph" w:customStyle="1" w:styleId="DAVA">
    <w:name w:val="DAVA"/>
    <w:basedOn w:val="Normln"/>
    <w:link w:val="DAVAChar"/>
    <w:qFormat/>
    <w:rsid w:val="00615420"/>
    <w:pPr>
      <w:spacing w:line="240" w:lineRule="auto"/>
      <w:jc w:val="left"/>
    </w:pPr>
    <w:rPr>
      <w:rFonts w:ascii="Arial" w:eastAsia="Times New Roman" w:hAnsi="Arial"/>
      <w:sz w:val="28"/>
      <w:szCs w:val="20"/>
    </w:rPr>
  </w:style>
  <w:style w:type="character" w:customStyle="1" w:styleId="DAVAChar">
    <w:name w:val="DAVA Char"/>
    <w:link w:val="DAVA"/>
    <w:locked/>
    <w:rsid w:val="00615420"/>
    <w:rPr>
      <w:rFonts w:ascii="Arial" w:hAnsi="Arial"/>
      <w:sz w:val="28"/>
    </w:rPr>
  </w:style>
  <w:style w:type="paragraph" w:styleId="Pedmtkomente">
    <w:name w:val="annotation subject"/>
    <w:basedOn w:val="Textkomente"/>
    <w:next w:val="Textkomente"/>
    <w:link w:val="PedmtkomenteChar"/>
    <w:uiPriority w:val="99"/>
    <w:semiHidden/>
    <w:unhideWhenUsed/>
    <w:rsid w:val="004C2318"/>
    <w:pPr>
      <w:spacing w:before="120"/>
      <w:jc w:val="both"/>
    </w:pPr>
    <w:rPr>
      <w:rFonts w:ascii="Times New Roman" w:eastAsia="Arial Unicode MS" w:hAnsi="Times New Roman" w:cs="Times New Roman"/>
      <w:b/>
      <w:bCs/>
    </w:rPr>
  </w:style>
  <w:style w:type="character" w:customStyle="1" w:styleId="PedmtkomenteChar">
    <w:name w:val="Předmět komentáře Char"/>
    <w:basedOn w:val="TextkomenteChar"/>
    <w:link w:val="Pedmtkomente"/>
    <w:uiPriority w:val="99"/>
    <w:semiHidden/>
    <w:rsid w:val="004C2318"/>
    <w:rPr>
      <w:rFonts w:ascii="Arial" w:eastAsia="Arial Unicode MS" w:hAnsi="Arial" w:cs="Arial"/>
      <w:b/>
      <w:bCs/>
      <w:u w:color="000000"/>
    </w:rPr>
  </w:style>
  <w:style w:type="paragraph" w:customStyle="1" w:styleId="111AAA">
    <w:name w:val="111AAA"/>
    <w:basedOn w:val="Normln"/>
    <w:rsid w:val="001F2910"/>
    <w:pPr>
      <w:spacing w:line="240" w:lineRule="auto"/>
    </w:pPr>
    <w:rPr>
      <w:rFonts w:eastAsia="Times New Roman"/>
      <w:sz w:val="24"/>
      <w:szCs w:val="20"/>
    </w:rPr>
  </w:style>
  <w:style w:type="numbering" w:customStyle="1" w:styleId="List1">
    <w:name w:val="List 1"/>
    <w:rsid w:val="00FC7EE7"/>
    <w:pPr>
      <w:numPr>
        <w:numId w:val="4"/>
      </w:numPr>
    </w:pPr>
  </w:style>
  <w:style w:type="paragraph" w:styleId="Obsah3">
    <w:name w:val="toc 3"/>
    <w:basedOn w:val="Normln"/>
    <w:next w:val="Normln"/>
    <w:autoRedefine/>
    <w:uiPriority w:val="39"/>
    <w:unhideWhenUsed/>
    <w:rsid w:val="008073B7"/>
    <w:pPr>
      <w:spacing w:after="100"/>
      <w:ind w:left="440"/>
    </w:pPr>
  </w:style>
  <w:style w:type="character" w:styleId="Zvraznn">
    <w:name w:val="Emphasis"/>
    <w:basedOn w:val="Standardnpsmoodstavce"/>
    <w:uiPriority w:val="20"/>
    <w:qFormat/>
    <w:rsid w:val="008E75C0"/>
    <w:rPr>
      <w:b/>
      <w:bCs/>
      <w:i w:val="0"/>
      <w:iCs w:val="0"/>
    </w:rPr>
  </w:style>
  <w:style w:type="character" w:customStyle="1" w:styleId="st1">
    <w:name w:val="st1"/>
    <w:basedOn w:val="Standardnpsmoodstavce"/>
    <w:rsid w:val="008E75C0"/>
  </w:style>
</w:styles>
</file>

<file path=word/webSettings.xml><?xml version="1.0" encoding="utf-8"?>
<w:webSettings xmlns:r="http://schemas.openxmlformats.org/officeDocument/2006/relationships" xmlns:w="http://schemas.openxmlformats.org/wordprocessingml/2006/main">
  <w:divs>
    <w:div w:id="91901371">
      <w:bodyDiv w:val="1"/>
      <w:marLeft w:val="0"/>
      <w:marRight w:val="0"/>
      <w:marTop w:val="0"/>
      <w:marBottom w:val="0"/>
      <w:divBdr>
        <w:top w:val="none" w:sz="0" w:space="0" w:color="auto"/>
        <w:left w:val="none" w:sz="0" w:space="0" w:color="auto"/>
        <w:bottom w:val="none" w:sz="0" w:space="0" w:color="auto"/>
        <w:right w:val="none" w:sz="0" w:space="0" w:color="auto"/>
      </w:divBdr>
      <w:divsChild>
        <w:div w:id="380053994">
          <w:marLeft w:val="1166"/>
          <w:marRight w:val="0"/>
          <w:marTop w:val="77"/>
          <w:marBottom w:val="0"/>
          <w:divBdr>
            <w:top w:val="none" w:sz="0" w:space="0" w:color="auto"/>
            <w:left w:val="none" w:sz="0" w:space="0" w:color="auto"/>
            <w:bottom w:val="none" w:sz="0" w:space="0" w:color="auto"/>
            <w:right w:val="none" w:sz="0" w:space="0" w:color="auto"/>
          </w:divBdr>
        </w:div>
      </w:divsChild>
    </w:div>
    <w:div w:id="150484145">
      <w:bodyDiv w:val="1"/>
      <w:marLeft w:val="0"/>
      <w:marRight w:val="0"/>
      <w:marTop w:val="0"/>
      <w:marBottom w:val="0"/>
      <w:divBdr>
        <w:top w:val="none" w:sz="0" w:space="0" w:color="auto"/>
        <w:left w:val="none" w:sz="0" w:space="0" w:color="auto"/>
        <w:bottom w:val="none" w:sz="0" w:space="0" w:color="auto"/>
        <w:right w:val="none" w:sz="0" w:space="0" w:color="auto"/>
      </w:divBdr>
      <w:divsChild>
        <w:div w:id="295137740">
          <w:marLeft w:val="1166"/>
          <w:marRight w:val="0"/>
          <w:marTop w:val="53"/>
          <w:marBottom w:val="0"/>
          <w:divBdr>
            <w:top w:val="none" w:sz="0" w:space="0" w:color="auto"/>
            <w:left w:val="none" w:sz="0" w:space="0" w:color="auto"/>
            <w:bottom w:val="none" w:sz="0" w:space="0" w:color="auto"/>
            <w:right w:val="none" w:sz="0" w:space="0" w:color="auto"/>
          </w:divBdr>
        </w:div>
        <w:div w:id="825316753">
          <w:marLeft w:val="1166"/>
          <w:marRight w:val="0"/>
          <w:marTop w:val="53"/>
          <w:marBottom w:val="0"/>
          <w:divBdr>
            <w:top w:val="none" w:sz="0" w:space="0" w:color="auto"/>
            <w:left w:val="none" w:sz="0" w:space="0" w:color="auto"/>
            <w:bottom w:val="none" w:sz="0" w:space="0" w:color="auto"/>
            <w:right w:val="none" w:sz="0" w:space="0" w:color="auto"/>
          </w:divBdr>
        </w:div>
        <w:div w:id="880871485">
          <w:marLeft w:val="1166"/>
          <w:marRight w:val="0"/>
          <w:marTop w:val="53"/>
          <w:marBottom w:val="0"/>
          <w:divBdr>
            <w:top w:val="none" w:sz="0" w:space="0" w:color="auto"/>
            <w:left w:val="none" w:sz="0" w:space="0" w:color="auto"/>
            <w:bottom w:val="none" w:sz="0" w:space="0" w:color="auto"/>
            <w:right w:val="none" w:sz="0" w:space="0" w:color="auto"/>
          </w:divBdr>
        </w:div>
        <w:div w:id="125051227">
          <w:marLeft w:val="1166"/>
          <w:marRight w:val="0"/>
          <w:marTop w:val="53"/>
          <w:marBottom w:val="0"/>
          <w:divBdr>
            <w:top w:val="none" w:sz="0" w:space="0" w:color="auto"/>
            <w:left w:val="none" w:sz="0" w:space="0" w:color="auto"/>
            <w:bottom w:val="none" w:sz="0" w:space="0" w:color="auto"/>
            <w:right w:val="none" w:sz="0" w:space="0" w:color="auto"/>
          </w:divBdr>
        </w:div>
        <w:div w:id="1828940608">
          <w:marLeft w:val="1166"/>
          <w:marRight w:val="0"/>
          <w:marTop w:val="53"/>
          <w:marBottom w:val="0"/>
          <w:divBdr>
            <w:top w:val="none" w:sz="0" w:space="0" w:color="auto"/>
            <w:left w:val="none" w:sz="0" w:space="0" w:color="auto"/>
            <w:bottom w:val="none" w:sz="0" w:space="0" w:color="auto"/>
            <w:right w:val="none" w:sz="0" w:space="0" w:color="auto"/>
          </w:divBdr>
        </w:div>
        <w:div w:id="702367719">
          <w:marLeft w:val="1166"/>
          <w:marRight w:val="0"/>
          <w:marTop w:val="53"/>
          <w:marBottom w:val="0"/>
          <w:divBdr>
            <w:top w:val="none" w:sz="0" w:space="0" w:color="auto"/>
            <w:left w:val="none" w:sz="0" w:space="0" w:color="auto"/>
            <w:bottom w:val="none" w:sz="0" w:space="0" w:color="auto"/>
            <w:right w:val="none" w:sz="0" w:space="0" w:color="auto"/>
          </w:divBdr>
        </w:div>
      </w:divsChild>
    </w:div>
    <w:div w:id="161506008">
      <w:bodyDiv w:val="1"/>
      <w:marLeft w:val="0"/>
      <w:marRight w:val="0"/>
      <w:marTop w:val="0"/>
      <w:marBottom w:val="0"/>
      <w:divBdr>
        <w:top w:val="none" w:sz="0" w:space="0" w:color="auto"/>
        <w:left w:val="none" w:sz="0" w:space="0" w:color="auto"/>
        <w:bottom w:val="none" w:sz="0" w:space="0" w:color="auto"/>
        <w:right w:val="none" w:sz="0" w:space="0" w:color="auto"/>
      </w:divBdr>
    </w:div>
    <w:div w:id="198514899">
      <w:bodyDiv w:val="1"/>
      <w:marLeft w:val="0"/>
      <w:marRight w:val="0"/>
      <w:marTop w:val="0"/>
      <w:marBottom w:val="0"/>
      <w:divBdr>
        <w:top w:val="none" w:sz="0" w:space="0" w:color="auto"/>
        <w:left w:val="none" w:sz="0" w:space="0" w:color="auto"/>
        <w:bottom w:val="none" w:sz="0" w:space="0" w:color="auto"/>
        <w:right w:val="none" w:sz="0" w:space="0" w:color="auto"/>
      </w:divBdr>
      <w:divsChild>
        <w:div w:id="418870853">
          <w:marLeft w:val="0"/>
          <w:marRight w:val="0"/>
          <w:marTop w:val="86"/>
          <w:marBottom w:val="0"/>
          <w:divBdr>
            <w:top w:val="none" w:sz="0" w:space="0" w:color="auto"/>
            <w:left w:val="none" w:sz="0" w:space="0" w:color="auto"/>
            <w:bottom w:val="none" w:sz="0" w:space="0" w:color="auto"/>
            <w:right w:val="none" w:sz="0" w:space="0" w:color="auto"/>
          </w:divBdr>
        </w:div>
        <w:div w:id="1747805634">
          <w:marLeft w:val="0"/>
          <w:marRight w:val="0"/>
          <w:marTop w:val="86"/>
          <w:marBottom w:val="0"/>
          <w:divBdr>
            <w:top w:val="none" w:sz="0" w:space="0" w:color="auto"/>
            <w:left w:val="none" w:sz="0" w:space="0" w:color="auto"/>
            <w:bottom w:val="none" w:sz="0" w:space="0" w:color="auto"/>
            <w:right w:val="none" w:sz="0" w:space="0" w:color="auto"/>
          </w:divBdr>
        </w:div>
        <w:div w:id="1751732006">
          <w:marLeft w:val="0"/>
          <w:marRight w:val="0"/>
          <w:marTop w:val="86"/>
          <w:marBottom w:val="0"/>
          <w:divBdr>
            <w:top w:val="none" w:sz="0" w:space="0" w:color="auto"/>
            <w:left w:val="none" w:sz="0" w:space="0" w:color="auto"/>
            <w:bottom w:val="none" w:sz="0" w:space="0" w:color="auto"/>
            <w:right w:val="none" w:sz="0" w:space="0" w:color="auto"/>
          </w:divBdr>
        </w:div>
      </w:divsChild>
    </w:div>
    <w:div w:id="265430136">
      <w:bodyDiv w:val="1"/>
      <w:marLeft w:val="0"/>
      <w:marRight w:val="0"/>
      <w:marTop w:val="0"/>
      <w:marBottom w:val="0"/>
      <w:divBdr>
        <w:top w:val="none" w:sz="0" w:space="0" w:color="auto"/>
        <w:left w:val="none" w:sz="0" w:space="0" w:color="auto"/>
        <w:bottom w:val="none" w:sz="0" w:space="0" w:color="auto"/>
        <w:right w:val="none" w:sz="0" w:space="0" w:color="auto"/>
      </w:divBdr>
    </w:div>
    <w:div w:id="281889102">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1">
          <w:marLeft w:val="835"/>
          <w:marRight w:val="0"/>
          <w:marTop w:val="60"/>
          <w:marBottom w:val="60"/>
          <w:divBdr>
            <w:top w:val="none" w:sz="0" w:space="0" w:color="auto"/>
            <w:left w:val="none" w:sz="0" w:space="0" w:color="auto"/>
            <w:bottom w:val="none" w:sz="0" w:space="0" w:color="auto"/>
            <w:right w:val="none" w:sz="0" w:space="0" w:color="auto"/>
          </w:divBdr>
        </w:div>
        <w:div w:id="318966840">
          <w:marLeft w:val="835"/>
          <w:marRight w:val="0"/>
          <w:marTop w:val="60"/>
          <w:marBottom w:val="60"/>
          <w:divBdr>
            <w:top w:val="none" w:sz="0" w:space="0" w:color="auto"/>
            <w:left w:val="none" w:sz="0" w:space="0" w:color="auto"/>
            <w:bottom w:val="none" w:sz="0" w:space="0" w:color="auto"/>
            <w:right w:val="none" w:sz="0" w:space="0" w:color="auto"/>
          </w:divBdr>
        </w:div>
        <w:div w:id="1789545271">
          <w:marLeft w:val="835"/>
          <w:marRight w:val="0"/>
          <w:marTop w:val="60"/>
          <w:marBottom w:val="60"/>
          <w:divBdr>
            <w:top w:val="none" w:sz="0" w:space="0" w:color="auto"/>
            <w:left w:val="none" w:sz="0" w:space="0" w:color="auto"/>
            <w:bottom w:val="none" w:sz="0" w:space="0" w:color="auto"/>
            <w:right w:val="none" w:sz="0" w:space="0" w:color="auto"/>
          </w:divBdr>
        </w:div>
      </w:divsChild>
    </w:div>
    <w:div w:id="299001575">
      <w:bodyDiv w:val="1"/>
      <w:marLeft w:val="0"/>
      <w:marRight w:val="0"/>
      <w:marTop w:val="0"/>
      <w:marBottom w:val="0"/>
      <w:divBdr>
        <w:top w:val="none" w:sz="0" w:space="0" w:color="auto"/>
        <w:left w:val="none" w:sz="0" w:space="0" w:color="auto"/>
        <w:bottom w:val="none" w:sz="0" w:space="0" w:color="auto"/>
        <w:right w:val="none" w:sz="0" w:space="0" w:color="auto"/>
      </w:divBdr>
    </w:div>
    <w:div w:id="304699140">
      <w:bodyDiv w:val="1"/>
      <w:marLeft w:val="0"/>
      <w:marRight w:val="0"/>
      <w:marTop w:val="0"/>
      <w:marBottom w:val="0"/>
      <w:divBdr>
        <w:top w:val="none" w:sz="0" w:space="0" w:color="auto"/>
        <w:left w:val="none" w:sz="0" w:space="0" w:color="auto"/>
        <w:bottom w:val="none" w:sz="0" w:space="0" w:color="auto"/>
        <w:right w:val="none" w:sz="0" w:space="0" w:color="auto"/>
      </w:divBdr>
      <w:divsChild>
        <w:div w:id="418791055">
          <w:marLeft w:val="0"/>
          <w:marRight w:val="0"/>
          <w:marTop w:val="86"/>
          <w:marBottom w:val="0"/>
          <w:divBdr>
            <w:top w:val="none" w:sz="0" w:space="0" w:color="auto"/>
            <w:left w:val="none" w:sz="0" w:space="0" w:color="auto"/>
            <w:bottom w:val="none" w:sz="0" w:space="0" w:color="auto"/>
            <w:right w:val="none" w:sz="0" w:space="0" w:color="auto"/>
          </w:divBdr>
        </w:div>
        <w:div w:id="17390442">
          <w:marLeft w:val="0"/>
          <w:marRight w:val="0"/>
          <w:marTop w:val="86"/>
          <w:marBottom w:val="0"/>
          <w:divBdr>
            <w:top w:val="none" w:sz="0" w:space="0" w:color="auto"/>
            <w:left w:val="none" w:sz="0" w:space="0" w:color="auto"/>
            <w:bottom w:val="none" w:sz="0" w:space="0" w:color="auto"/>
            <w:right w:val="none" w:sz="0" w:space="0" w:color="auto"/>
          </w:divBdr>
        </w:div>
        <w:div w:id="584338888">
          <w:marLeft w:val="562"/>
          <w:marRight w:val="0"/>
          <w:marTop w:val="0"/>
          <w:marBottom w:val="0"/>
          <w:divBdr>
            <w:top w:val="none" w:sz="0" w:space="0" w:color="auto"/>
            <w:left w:val="none" w:sz="0" w:space="0" w:color="auto"/>
            <w:bottom w:val="none" w:sz="0" w:space="0" w:color="auto"/>
            <w:right w:val="none" w:sz="0" w:space="0" w:color="auto"/>
          </w:divBdr>
        </w:div>
        <w:div w:id="546723563">
          <w:marLeft w:val="562"/>
          <w:marRight w:val="0"/>
          <w:marTop w:val="120"/>
          <w:marBottom w:val="0"/>
          <w:divBdr>
            <w:top w:val="none" w:sz="0" w:space="0" w:color="auto"/>
            <w:left w:val="none" w:sz="0" w:space="0" w:color="auto"/>
            <w:bottom w:val="none" w:sz="0" w:space="0" w:color="auto"/>
            <w:right w:val="none" w:sz="0" w:space="0" w:color="auto"/>
          </w:divBdr>
        </w:div>
        <w:div w:id="530386027">
          <w:marLeft w:val="562"/>
          <w:marRight w:val="0"/>
          <w:marTop w:val="120"/>
          <w:marBottom w:val="0"/>
          <w:divBdr>
            <w:top w:val="none" w:sz="0" w:space="0" w:color="auto"/>
            <w:left w:val="none" w:sz="0" w:space="0" w:color="auto"/>
            <w:bottom w:val="none" w:sz="0" w:space="0" w:color="auto"/>
            <w:right w:val="none" w:sz="0" w:space="0" w:color="auto"/>
          </w:divBdr>
        </w:div>
        <w:div w:id="45372868">
          <w:marLeft w:val="562"/>
          <w:marRight w:val="0"/>
          <w:marTop w:val="120"/>
          <w:marBottom w:val="0"/>
          <w:divBdr>
            <w:top w:val="none" w:sz="0" w:space="0" w:color="auto"/>
            <w:left w:val="none" w:sz="0" w:space="0" w:color="auto"/>
            <w:bottom w:val="none" w:sz="0" w:space="0" w:color="auto"/>
            <w:right w:val="none" w:sz="0" w:space="0" w:color="auto"/>
          </w:divBdr>
        </w:div>
        <w:div w:id="1369840222">
          <w:marLeft w:val="562"/>
          <w:marRight w:val="0"/>
          <w:marTop w:val="120"/>
          <w:marBottom w:val="0"/>
          <w:divBdr>
            <w:top w:val="none" w:sz="0" w:space="0" w:color="auto"/>
            <w:left w:val="none" w:sz="0" w:space="0" w:color="auto"/>
            <w:bottom w:val="none" w:sz="0" w:space="0" w:color="auto"/>
            <w:right w:val="none" w:sz="0" w:space="0" w:color="auto"/>
          </w:divBdr>
        </w:div>
        <w:div w:id="461926028">
          <w:marLeft w:val="0"/>
          <w:marRight w:val="0"/>
          <w:marTop w:val="86"/>
          <w:marBottom w:val="0"/>
          <w:divBdr>
            <w:top w:val="none" w:sz="0" w:space="0" w:color="auto"/>
            <w:left w:val="none" w:sz="0" w:space="0" w:color="auto"/>
            <w:bottom w:val="none" w:sz="0" w:space="0" w:color="auto"/>
            <w:right w:val="none" w:sz="0" w:space="0" w:color="auto"/>
          </w:divBdr>
        </w:div>
      </w:divsChild>
    </w:div>
    <w:div w:id="325717743">
      <w:bodyDiv w:val="1"/>
      <w:marLeft w:val="0"/>
      <w:marRight w:val="0"/>
      <w:marTop w:val="0"/>
      <w:marBottom w:val="0"/>
      <w:divBdr>
        <w:top w:val="none" w:sz="0" w:space="0" w:color="auto"/>
        <w:left w:val="none" w:sz="0" w:space="0" w:color="auto"/>
        <w:bottom w:val="none" w:sz="0" w:space="0" w:color="auto"/>
        <w:right w:val="none" w:sz="0" w:space="0" w:color="auto"/>
      </w:divBdr>
    </w:div>
    <w:div w:id="495650440">
      <w:bodyDiv w:val="1"/>
      <w:marLeft w:val="0"/>
      <w:marRight w:val="0"/>
      <w:marTop w:val="0"/>
      <w:marBottom w:val="0"/>
      <w:divBdr>
        <w:top w:val="none" w:sz="0" w:space="0" w:color="auto"/>
        <w:left w:val="none" w:sz="0" w:space="0" w:color="auto"/>
        <w:bottom w:val="none" w:sz="0" w:space="0" w:color="auto"/>
        <w:right w:val="none" w:sz="0" w:space="0" w:color="auto"/>
      </w:divBdr>
    </w:div>
    <w:div w:id="698316951">
      <w:bodyDiv w:val="1"/>
      <w:marLeft w:val="0"/>
      <w:marRight w:val="0"/>
      <w:marTop w:val="0"/>
      <w:marBottom w:val="0"/>
      <w:divBdr>
        <w:top w:val="none" w:sz="0" w:space="0" w:color="auto"/>
        <w:left w:val="none" w:sz="0" w:space="0" w:color="auto"/>
        <w:bottom w:val="none" w:sz="0" w:space="0" w:color="auto"/>
        <w:right w:val="none" w:sz="0" w:space="0" w:color="auto"/>
      </w:divBdr>
      <w:divsChild>
        <w:div w:id="2010910629">
          <w:marLeft w:val="288"/>
          <w:marRight w:val="0"/>
          <w:marTop w:val="86"/>
          <w:marBottom w:val="0"/>
          <w:divBdr>
            <w:top w:val="none" w:sz="0" w:space="0" w:color="auto"/>
            <w:left w:val="none" w:sz="0" w:space="0" w:color="auto"/>
            <w:bottom w:val="none" w:sz="0" w:space="0" w:color="auto"/>
            <w:right w:val="none" w:sz="0" w:space="0" w:color="auto"/>
          </w:divBdr>
        </w:div>
        <w:div w:id="893471358">
          <w:marLeft w:val="979"/>
          <w:marRight w:val="0"/>
          <w:marTop w:val="77"/>
          <w:marBottom w:val="0"/>
          <w:divBdr>
            <w:top w:val="none" w:sz="0" w:space="0" w:color="auto"/>
            <w:left w:val="none" w:sz="0" w:space="0" w:color="auto"/>
            <w:bottom w:val="none" w:sz="0" w:space="0" w:color="auto"/>
            <w:right w:val="none" w:sz="0" w:space="0" w:color="auto"/>
          </w:divBdr>
        </w:div>
        <w:div w:id="1439987898">
          <w:marLeft w:val="979"/>
          <w:marRight w:val="0"/>
          <w:marTop w:val="77"/>
          <w:marBottom w:val="0"/>
          <w:divBdr>
            <w:top w:val="none" w:sz="0" w:space="0" w:color="auto"/>
            <w:left w:val="none" w:sz="0" w:space="0" w:color="auto"/>
            <w:bottom w:val="none" w:sz="0" w:space="0" w:color="auto"/>
            <w:right w:val="none" w:sz="0" w:space="0" w:color="auto"/>
          </w:divBdr>
        </w:div>
        <w:div w:id="682977940">
          <w:marLeft w:val="288"/>
          <w:marRight w:val="0"/>
          <w:marTop w:val="160"/>
          <w:marBottom w:val="0"/>
          <w:divBdr>
            <w:top w:val="none" w:sz="0" w:space="0" w:color="auto"/>
            <w:left w:val="none" w:sz="0" w:space="0" w:color="auto"/>
            <w:bottom w:val="none" w:sz="0" w:space="0" w:color="auto"/>
            <w:right w:val="none" w:sz="0" w:space="0" w:color="auto"/>
          </w:divBdr>
        </w:div>
        <w:div w:id="1445803223">
          <w:marLeft w:val="979"/>
          <w:marRight w:val="0"/>
          <w:marTop w:val="77"/>
          <w:marBottom w:val="0"/>
          <w:divBdr>
            <w:top w:val="none" w:sz="0" w:space="0" w:color="auto"/>
            <w:left w:val="none" w:sz="0" w:space="0" w:color="auto"/>
            <w:bottom w:val="none" w:sz="0" w:space="0" w:color="auto"/>
            <w:right w:val="none" w:sz="0" w:space="0" w:color="auto"/>
          </w:divBdr>
        </w:div>
        <w:div w:id="583539673">
          <w:marLeft w:val="288"/>
          <w:marRight w:val="0"/>
          <w:marTop w:val="160"/>
          <w:marBottom w:val="0"/>
          <w:divBdr>
            <w:top w:val="none" w:sz="0" w:space="0" w:color="auto"/>
            <w:left w:val="none" w:sz="0" w:space="0" w:color="auto"/>
            <w:bottom w:val="none" w:sz="0" w:space="0" w:color="auto"/>
            <w:right w:val="none" w:sz="0" w:space="0" w:color="auto"/>
          </w:divBdr>
        </w:div>
        <w:div w:id="1508596526">
          <w:marLeft w:val="979"/>
          <w:marRight w:val="0"/>
          <w:marTop w:val="77"/>
          <w:marBottom w:val="0"/>
          <w:divBdr>
            <w:top w:val="none" w:sz="0" w:space="0" w:color="auto"/>
            <w:left w:val="none" w:sz="0" w:space="0" w:color="auto"/>
            <w:bottom w:val="none" w:sz="0" w:space="0" w:color="auto"/>
            <w:right w:val="none" w:sz="0" w:space="0" w:color="auto"/>
          </w:divBdr>
        </w:div>
        <w:div w:id="618343912">
          <w:marLeft w:val="979"/>
          <w:marRight w:val="0"/>
          <w:marTop w:val="77"/>
          <w:marBottom w:val="0"/>
          <w:divBdr>
            <w:top w:val="none" w:sz="0" w:space="0" w:color="auto"/>
            <w:left w:val="none" w:sz="0" w:space="0" w:color="auto"/>
            <w:bottom w:val="none" w:sz="0" w:space="0" w:color="auto"/>
            <w:right w:val="none" w:sz="0" w:space="0" w:color="auto"/>
          </w:divBdr>
        </w:div>
        <w:div w:id="926036439">
          <w:marLeft w:val="288"/>
          <w:marRight w:val="0"/>
          <w:marTop w:val="160"/>
          <w:marBottom w:val="0"/>
          <w:divBdr>
            <w:top w:val="none" w:sz="0" w:space="0" w:color="auto"/>
            <w:left w:val="none" w:sz="0" w:space="0" w:color="auto"/>
            <w:bottom w:val="none" w:sz="0" w:space="0" w:color="auto"/>
            <w:right w:val="none" w:sz="0" w:space="0" w:color="auto"/>
          </w:divBdr>
        </w:div>
        <w:div w:id="487786644">
          <w:marLeft w:val="979"/>
          <w:marRight w:val="0"/>
          <w:marTop w:val="77"/>
          <w:marBottom w:val="0"/>
          <w:divBdr>
            <w:top w:val="none" w:sz="0" w:space="0" w:color="auto"/>
            <w:left w:val="none" w:sz="0" w:space="0" w:color="auto"/>
            <w:bottom w:val="none" w:sz="0" w:space="0" w:color="auto"/>
            <w:right w:val="none" w:sz="0" w:space="0" w:color="auto"/>
          </w:divBdr>
        </w:div>
        <w:div w:id="835152532">
          <w:marLeft w:val="288"/>
          <w:marRight w:val="0"/>
          <w:marTop w:val="160"/>
          <w:marBottom w:val="0"/>
          <w:divBdr>
            <w:top w:val="none" w:sz="0" w:space="0" w:color="auto"/>
            <w:left w:val="none" w:sz="0" w:space="0" w:color="auto"/>
            <w:bottom w:val="none" w:sz="0" w:space="0" w:color="auto"/>
            <w:right w:val="none" w:sz="0" w:space="0" w:color="auto"/>
          </w:divBdr>
        </w:div>
        <w:div w:id="1720326985">
          <w:marLeft w:val="979"/>
          <w:marRight w:val="0"/>
          <w:marTop w:val="77"/>
          <w:marBottom w:val="0"/>
          <w:divBdr>
            <w:top w:val="none" w:sz="0" w:space="0" w:color="auto"/>
            <w:left w:val="none" w:sz="0" w:space="0" w:color="auto"/>
            <w:bottom w:val="none" w:sz="0" w:space="0" w:color="auto"/>
            <w:right w:val="none" w:sz="0" w:space="0" w:color="auto"/>
          </w:divBdr>
        </w:div>
        <w:div w:id="1381242783">
          <w:marLeft w:val="288"/>
          <w:marRight w:val="0"/>
          <w:marTop w:val="160"/>
          <w:marBottom w:val="0"/>
          <w:divBdr>
            <w:top w:val="none" w:sz="0" w:space="0" w:color="auto"/>
            <w:left w:val="none" w:sz="0" w:space="0" w:color="auto"/>
            <w:bottom w:val="none" w:sz="0" w:space="0" w:color="auto"/>
            <w:right w:val="none" w:sz="0" w:space="0" w:color="auto"/>
          </w:divBdr>
        </w:div>
        <w:div w:id="965352147">
          <w:marLeft w:val="979"/>
          <w:marRight w:val="0"/>
          <w:marTop w:val="77"/>
          <w:marBottom w:val="0"/>
          <w:divBdr>
            <w:top w:val="none" w:sz="0" w:space="0" w:color="auto"/>
            <w:left w:val="none" w:sz="0" w:space="0" w:color="auto"/>
            <w:bottom w:val="none" w:sz="0" w:space="0" w:color="auto"/>
            <w:right w:val="none" w:sz="0" w:space="0" w:color="auto"/>
          </w:divBdr>
        </w:div>
      </w:divsChild>
    </w:div>
    <w:div w:id="707485338">
      <w:bodyDiv w:val="1"/>
      <w:marLeft w:val="0"/>
      <w:marRight w:val="0"/>
      <w:marTop w:val="0"/>
      <w:marBottom w:val="0"/>
      <w:divBdr>
        <w:top w:val="none" w:sz="0" w:space="0" w:color="auto"/>
        <w:left w:val="none" w:sz="0" w:space="0" w:color="auto"/>
        <w:bottom w:val="none" w:sz="0" w:space="0" w:color="auto"/>
        <w:right w:val="none" w:sz="0" w:space="0" w:color="auto"/>
      </w:divBdr>
    </w:div>
    <w:div w:id="722602523">
      <w:bodyDiv w:val="1"/>
      <w:marLeft w:val="0"/>
      <w:marRight w:val="0"/>
      <w:marTop w:val="0"/>
      <w:marBottom w:val="0"/>
      <w:divBdr>
        <w:top w:val="none" w:sz="0" w:space="0" w:color="auto"/>
        <w:left w:val="none" w:sz="0" w:space="0" w:color="auto"/>
        <w:bottom w:val="none" w:sz="0" w:space="0" w:color="auto"/>
        <w:right w:val="none" w:sz="0" w:space="0" w:color="auto"/>
      </w:divBdr>
    </w:div>
    <w:div w:id="738286193">
      <w:bodyDiv w:val="1"/>
      <w:marLeft w:val="0"/>
      <w:marRight w:val="0"/>
      <w:marTop w:val="0"/>
      <w:marBottom w:val="0"/>
      <w:divBdr>
        <w:top w:val="none" w:sz="0" w:space="0" w:color="auto"/>
        <w:left w:val="none" w:sz="0" w:space="0" w:color="auto"/>
        <w:bottom w:val="none" w:sz="0" w:space="0" w:color="auto"/>
        <w:right w:val="none" w:sz="0" w:space="0" w:color="auto"/>
      </w:divBdr>
    </w:div>
    <w:div w:id="821316452">
      <w:bodyDiv w:val="1"/>
      <w:marLeft w:val="0"/>
      <w:marRight w:val="0"/>
      <w:marTop w:val="0"/>
      <w:marBottom w:val="0"/>
      <w:divBdr>
        <w:top w:val="none" w:sz="0" w:space="0" w:color="auto"/>
        <w:left w:val="none" w:sz="0" w:space="0" w:color="auto"/>
        <w:bottom w:val="none" w:sz="0" w:space="0" w:color="auto"/>
        <w:right w:val="none" w:sz="0" w:space="0" w:color="auto"/>
      </w:divBdr>
      <w:divsChild>
        <w:div w:id="197009813">
          <w:marLeft w:val="547"/>
          <w:marRight w:val="0"/>
          <w:marTop w:val="77"/>
          <w:marBottom w:val="0"/>
          <w:divBdr>
            <w:top w:val="none" w:sz="0" w:space="0" w:color="auto"/>
            <w:left w:val="none" w:sz="0" w:space="0" w:color="auto"/>
            <w:bottom w:val="none" w:sz="0" w:space="0" w:color="auto"/>
            <w:right w:val="none" w:sz="0" w:space="0" w:color="auto"/>
          </w:divBdr>
        </w:div>
        <w:div w:id="1020739270">
          <w:marLeft w:val="547"/>
          <w:marRight w:val="0"/>
          <w:marTop w:val="77"/>
          <w:marBottom w:val="0"/>
          <w:divBdr>
            <w:top w:val="none" w:sz="0" w:space="0" w:color="auto"/>
            <w:left w:val="none" w:sz="0" w:space="0" w:color="auto"/>
            <w:bottom w:val="none" w:sz="0" w:space="0" w:color="auto"/>
            <w:right w:val="none" w:sz="0" w:space="0" w:color="auto"/>
          </w:divBdr>
        </w:div>
        <w:div w:id="2034577684">
          <w:marLeft w:val="547"/>
          <w:marRight w:val="0"/>
          <w:marTop w:val="77"/>
          <w:marBottom w:val="0"/>
          <w:divBdr>
            <w:top w:val="none" w:sz="0" w:space="0" w:color="auto"/>
            <w:left w:val="none" w:sz="0" w:space="0" w:color="auto"/>
            <w:bottom w:val="none" w:sz="0" w:space="0" w:color="auto"/>
            <w:right w:val="none" w:sz="0" w:space="0" w:color="auto"/>
          </w:divBdr>
        </w:div>
        <w:div w:id="721826010">
          <w:marLeft w:val="547"/>
          <w:marRight w:val="0"/>
          <w:marTop w:val="0"/>
          <w:marBottom w:val="40"/>
          <w:divBdr>
            <w:top w:val="none" w:sz="0" w:space="0" w:color="auto"/>
            <w:left w:val="none" w:sz="0" w:space="0" w:color="auto"/>
            <w:bottom w:val="none" w:sz="0" w:space="0" w:color="auto"/>
            <w:right w:val="none" w:sz="0" w:space="0" w:color="auto"/>
          </w:divBdr>
        </w:div>
        <w:div w:id="900752696">
          <w:marLeft w:val="547"/>
          <w:marRight w:val="0"/>
          <w:marTop w:val="0"/>
          <w:marBottom w:val="40"/>
          <w:divBdr>
            <w:top w:val="none" w:sz="0" w:space="0" w:color="auto"/>
            <w:left w:val="none" w:sz="0" w:space="0" w:color="auto"/>
            <w:bottom w:val="none" w:sz="0" w:space="0" w:color="auto"/>
            <w:right w:val="none" w:sz="0" w:space="0" w:color="auto"/>
          </w:divBdr>
        </w:div>
        <w:div w:id="1377967253">
          <w:marLeft w:val="547"/>
          <w:marRight w:val="0"/>
          <w:marTop w:val="0"/>
          <w:marBottom w:val="40"/>
          <w:divBdr>
            <w:top w:val="none" w:sz="0" w:space="0" w:color="auto"/>
            <w:left w:val="none" w:sz="0" w:space="0" w:color="auto"/>
            <w:bottom w:val="none" w:sz="0" w:space="0" w:color="auto"/>
            <w:right w:val="none" w:sz="0" w:space="0" w:color="auto"/>
          </w:divBdr>
        </w:div>
        <w:div w:id="792093163">
          <w:marLeft w:val="547"/>
          <w:marRight w:val="0"/>
          <w:marTop w:val="0"/>
          <w:marBottom w:val="40"/>
          <w:divBdr>
            <w:top w:val="none" w:sz="0" w:space="0" w:color="auto"/>
            <w:left w:val="none" w:sz="0" w:space="0" w:color="auto"/>
            <w:bottom w:val="none" w:sz="0" w:space="0" w:color="auto"/>
            <w:right w:val="none" w:sz="0" w:space="0" w:color="auto"/>
          </w:divBdr>
        </w:div>
        <w:div w:id="740443017">
          <w:marLeft w:val="547"/>
          <w:marRight w:val="0"/>
          <w:marTop w:val="0"/>
          <w:marBottom w:val="40"/>
          <w:divBdr>
            <w:top w:val="none" w:sz="0" w:space="0" w:color="auto"/>
            <w:left w:val="none" w:sz="0" w:space="0" w:color="auto"/>
            <w:bottom w:val="none" w:sz="0" w:space="0" w:color="auto"/>
            <w:right w:val="none" w:sz="0" w:space="0" w:color="auto"/>
          </w:divBdr>
        </w:div>
        <w:div w:id="1079594361">
          <w:marLeft w:val="547"/>
          <w:marRight w:val="0"/>
          <w:marTop w:val="0"/>
          <w:marBottom w:val="40"/>
          <w:divBdr>
            <w:top w:val="none" w:sz="0" w:space="0" w:color="auto"/>
            <w:left w:val="none" w:sz="0" w:space="0" w:color="auto"/>
            <w:bottom w:val="none" w:sz="0" w:space="0" w:color="auto"/>
            <w:right w:val="none" w:sz="0" w:space="0" w:color="auto"/>
          </w:divBdr>
        </w:div>
        <w:div w:id="844441776">
          <w:marLeft w:val="547"/>
          <w:marRight w:val="0"/>
          <w:marTop w:val="0"/>
          <w:marBottom w:val="40"/>
          <w:divBdr>
            <w:top w:val="none" w:sz="0" w:space="0" w:color="auto"/>
            <w:left w:val="none" w:sz="0" w:space="0" w:color="auto"/>
            <w:bottom w:val="none" w:sz="0" w:space="0" w:color="auto"/>
            <w:right w:val="none" w:sz="0" w:space="0" w:color="auto"/>
          </w:divBdr>
        </w:div>
        <w:div w:id="2017801540">
          <w:marLeft w:val="547"/>
          <w:marRight w:val="0"/>
          <w:marTop w:val="0"/>
          <w:marBottom w:val="40"/>
          <w:divBdr>
            <w:top w:val="none" w:sz="0" w:space="0" w:color="auto"/>
            <w:left w:val="none" w:sz="0" w:space="0" w:color="auto"/>
            <w:bottom w:val="none" w:sz="0" w:space="0" w:color="auto"/>
            <w:right w:val="none" w:sz="0" w:space="0" w:color="auto"/>
          </w:divBdr>
        </w:div>
        <w:div w:id="1473134951">
          <w:marLeft w:val="547"/>
          <w:marRight w:val="0"/>
          <w:marTop w:val="0"/>
          <w:marBottom w:val="40"/>
          <w:divBdr>
            <w:top w:val="none" w:sz="0" w:space="0" w:color="auto"/>
            <w:left w:val="none" w:sz="0" w:space="0" w:color="auto"/>
            <w:bottom w:val="none" w:sz="0" w:space="0" w:color="auto"/>
            <w:right w:val="none" w:sz="0" w:space="0" w:color="auto"/>
          </w:divBdr>
        </w:div>
      </w:divsChild>
    </w:div>
    <w:div w:id="848640679">
      <w:bodyDiv w:val="1"/>
      <w:marLeft w:val="0"/>
      <w:marRight w:val="0"/>
      <w:marTop w:val="0"/>
      <w:marBottom w:val="0"/>
      <w:divBdr>
        <w:top w:val="none" w:sz="0" w:space="0" w:color="auto"/>
        <w:left w:val="none" w:sz="0" w:space="0" w:color="auto"/>
        <w:bottom w:val="none" w:sz="0" w:space="0" w:color="auto"/>
        <w:right w:val="none" w:sz="0" w:space="0" w:color="auto"/>
      </w:divBdr>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94525693">
          <w:marLeft w:val="1166"/>
          <w:marRight w:val="0"/>
          <w:marTop w:val="53"/>
          <w:marBottom w:val="0"/>
          <w:divBdr>
            <w:top w:val="none" w:sz="0" w:space="0" w:color="auto"/>
            <w:left w:val="none" w:sz="0" w:space="0" w:color="auto"/>
            <w:bottom w:val="none" w:sz="0" w:space="0" w:color="auto"/>
            <w:right w:val="none" w:sz="0" w:space="0" w:color="auto"/>
          </w:divBdr>
        </w:div>
        <w:div w:id="1605651849">
          <w:marLeft w:val="1166"/>
          <w:marRight w:val="0"/>
          <w:marTop w:val="53"/>
          <w:marBottom w:val="0"/>
          <w:divBdr>
            <w:top w:val="none" w:sz="0" w:space="0" w:color="auto"/>
            <w:left w:val="none" w:sz="0" w:space="0" w:color="auto"/>
            <w:bottom w:val="none" w:sz="0" w:space="0" w:color="auto"/>
            <w:right w:val="none" w:sz="0" w:space="0" w:color="auto"/>
          </w:divBdr>
        </w:div>
        <w:div w:id="1147161119">
          <w:marLeft w:val="1166"/>
          <w:marRight w:val="0"/>
          <w:marTop w:val="53"/>
          <w:marBottom w:val="0"/>
          <w:divBdr>
            <w:top w:val="none" w:sz="0" w:space="0" w:color="auto"/>
            <w:left w:val="none" w:sz="0" w:space="0" w:color="auto"/>
            <w:bottom w:val="none" w:sz="0" w:space="0" w:color="auto"/>
            <w:right w:val="none" w:sz="0" w:space="0" w:color="auto"/>
          </w:divBdr>
        </w:div>
        <w:div w:id="731779204">
          <w:marLeft w:val="1166"/>
          <w:marRight w:val="0"/>
          <w:marTop w:val="53"/>
          <w:marBottom w:val="0"/>
          <w:divBdr>
            <w:top w:val="none" w:sz="0" w:space="0" w:color="auto"/>
            <w:left w:val="none" w:sz="0" w:space="0" w:color="auto"/>
            <w:bottom w:val="none" w:sz="0" w:space="0" w:color="auto"/>
            <w:right w:val="none" w:sz="0" w:space="0" w:color="auto"/>
          </w:divBdr>
        </w:div>
        <w:div w:id="1890846929">
          <w:marLeft w:val="1166"/>
          <w:marRight w:val="0"/>
          <w:marTop w:val="53"/>
          <w:marBottom w:val="0"/>
          <w:divBdr>
            <w:top w:val="none" w:sz="0" w:space="0" w:color="auto"/>
            <w:left w:val="none" w:sz="0" w:space="0" w:color="auto"/>
            <w:bottom w:val="none" w:sz="0" w:space="0" w:color="auto"/>
            <w:right w:val="none" w:sz="0" w:space="0" w:color="auto"/>
          </w:divBdr>
        </w:div>
      </w:divsChild>
    </w:div>
    <w:div w:id="887687963">
      <w:bodyDiv w:val="1"/>
      <w:marLeft w:val="0"/>
      <w:marRight w:val="0"/>
      <w:marTop w:val="0"/>
      <w:marBottom w:val="0"/>
      <w:divBdr>
        <w:top w:val="none" w:sz="0" w:space="0" w:color="auto"/>
        <w:left w:val="none" w:sz="0" w:space="0" w:color="auto"/>
        <w:bottom w:val="none" w:sz="0" w:space="0" w:color="auto"/>
        <w:right w:val="none" w:sz="0" w:space="0" w:color="auto"/>
      </w:divBdr>
    </w:div>
    <w:div w:id="934825678">
      <w:bodyDiv w:val="1"/>
      <w:marLeft w:val="0"/>
      <w:marRight w:val="0"/>
      <w:marTop w:val="0"/>
      <w:marBottom w:val="0"/>
      <w:divBdr>
        <w:top w:val="none" w:sz="0" w:space="0" w:color="auto"/>
        <w:left w:val="none" w:sz="0" w:space="0" w:color="auto"/>
        <w:bottom w:val="none" w:sz="0" w:space="0" w:color="auto"/>
        <w:right w:val="none" w:sz="0" w:space="0" w:color="auto"/>
      </w:divBdr>
      <w:divsChild>
        <w:div w:id="1750301496">
          <w:marLeft w:val="547"/>
          <w:marRight w:val="0"/>
          <w:marTop w:val="96"/>
          <w:marBottom w:val="0"/>
          <w:divBdr>
            <w:top w:val="none" w:sz="0" w:space="0" w:color="auto"/>
            <w:left w:val="none" w:sz="0" w:space="0" w:color="auto"/>
            <w:bottom w:val="none" w:sz="0" w:space="0" w:color="auto"/>
            <w:right w:val="none" w:sz="0" w:space="0" w:color="auto"/>
          </w:divBdr>
        </w:div>
        <w:div w:id="1440179799">
          <w:marLeft w:val="547"/>
          <w:marRight w:val="0"/>
          <w:marTop w:val="96"/>
          <w:marBottom w:val="0"/>
          <w:divBdr>
            <w:top w:val="none" w:sz="0" w:space="0" w:color="auto"/>
            <w:left w:val="none" w:sz="0" w:space="0" w:color="auto"/>
            <w:bottom w:val="none" w:sz="0" w:space="0" w:color="auto"/>
            <w:right w:val="none" w:sz="0" w:space="0" w:color="auto"/>
          </w:divBdr>
        </w:div>
        <w:div w:id="219250075">
          <w:marLeft w:val="547"/>
          <w:marRight w:val="0"/>
          <w:marTop w:val="96"/>
          <w:marBottom w:val="0"/>
          <w:divBdr>
            <w:top w:val="none" w:sz="0" w:space="0" w:color="auto"/>
            <w:left w:val="none" w:sz="0" w:space="0" w:color="auto"/>
            <w:bottom w:val="none" w:sz="0" w:space="0" w:color="auto"/>
            <w:right w:val="none" w:sz="0" w:space="0" w:color="auto"/>
          </w:divBdr>
        </w:div>
        <w:div w:id="1088117989">
          <w:marLeft w:val="547"/>
          <w:marRight w:val="0"/>
          <w:marTop w:val="96"/>
          <w:marBottom w:val="0"/>
          <w:divBdr>
            <w:top w:val="none" w:sz="0" w:space="0" w:color="auto"/>
            <w:left w:val="none" w:sz="0" w:space="0" w:color="auto"/>
            <w:bottom w:val="none" w:sz="0" w:space="0" w:color="auto"/>
            <w:right w:val="none" w:sz="0" w:space="0" w:color="auto"/>
          </w:divBdr>
        </w:div>
        <w:div w:id="915748151">
          <w:marLeft w:val="547"/>
          <w:marRight w:val="0"/>
          <w:marTop w:val="96"/>
          <w:marBottom w:val="0"/>
          <w:divBdr>
            <w:top w:val="none" w:sz="0" w:space="0" w:color="auto"/>
            <w:left w:val="none" w:sz="0" w:space="0" w:color="auto"/>
            <w:bottom w:val="none" w:sz="0" w:space="0" w:color="auto"/>
            <w:right w:val="none" w:sz="0" w:space="0" w:color="auto"/>
          </w:divBdr>
        </w:div>
        <w:div w:id="945769462">
          <w:marLeft w:val="547"/>
          <w:marRight w:val="0"/>
          <w:marTop w:val="96"/>
          <w:marBottom w:val="0"/>
          <w:divBdr>
            <w:top w:val="none" w:sz="0" w:space="0" w:color="auto"/>
            <w:left w:val="none" w:sz="0" w:space="0" w:color="auto"/>
            <w:bottom w:val="none" w:sz="0" w:space="0" w:color="auto"/>
            <w:right w:val="none" w:sz="0" w:space="0" w:color="auto"/>
          </w:divBdr>
        </w:div>
      </w:divsChild>
    </w:div>
    <w:div w:id="950011575">
      <w:bodyDiv w:val="1"/>
      <w:marLeft w:val="0"/>
      <w:marRight w:val="0"/>
      <w:marTop w:val="0"/>
      <w:marBottom w:val="0"/>
      <w:divBdr>
        <w:top w:val="none" w:sz="0" w:space="0" w:color="auto"/>
        <w:left w:val="none" w:sz="0" w:space="0" w:color="auto"/>
        <w:bottom w:val="none" w:sz="0" w:space="0" w:color="auto"/>
        <w:right w:val="none" w:sz="0" w:space="0" w:color="auto"/>
      </w:divBdr>
      <w:divsChild>
        <w:div w:id="199100451">
          <w:marLeft w:val="1166"/>
          <w:marRight w:val="0"/>
          <w:marTop w:val="0"/>
          <w:marBottom w:val="120"/>
          <w:divBdr>
            <w:top w:val="none" w:sz="0" w:space="0" w:color="auto"/>
            <w:left w:val="none" w:sz="0" w:space="0" w:color="auto"/>
            <w:bottom w:val="none" w:sz="0" w:space="0" w:color="auto"/>
            <w:right w:val="none" w:sz="0" w:space="0" w:color="auto"/>
          </w:divBdr>
        </w:div>
      </w:divsChild>
    </w:div>
    <w:div w:id="990520926">
      <w:bodyDiv w:val="1"/>
      <w:marLeft w:val="0"/>
      <w:marRight w:val="0"/>
      <w:marTop w:val="0"/>
      <w:marBottom w:val="0"/>
      <w:divBdr>
        <w:top w:val="none" w:sz="0" w:space="0" w:color="auto"/>
        <w:left w:val="none" w:sz="0" w:space="0" w:color="auto"/>
        <w:bottom w:val="none" w:sz="0" w:space="0" w:color="auto"/>
        <w:right w:val="none" w:sz="0" w:space="0" w:color="auto"/>
      </w:divBdr>
    </w:div>
    <w:div w:id="1024479130">
      <w:bodyDiv w:val="1"/>
      <w:marLeft w:val="0"/>
      <w:marRight w:val="0"/>
      <w:marTop w:val="0"/>
      <w:marBottom w:val="0"/>
      <w:divBdr>
        <w:top w:val="none" w:sz="0" w:space="0" w:color="auto"/>
        <w:left w:val="none" w:sz="0" w:space="0" w:color="auto"/>
        <w:bottom w:val="none" w:sz="0" w:space="0" w:color="auto"/>
        <w:right w:val="none" w:sz="0" w:space="0" w:color="auto"/>
      </w:divBdr>
    </w:div>
    <w:div w:id="1033655879">
      <w:bodyDiv w:val="1"/>
      <w:marLeft w:val="0"/>
      <w:marRight w:val="0"/>
      <w:marTop w:val="0"/>
      <w:marBottom w:val="0"/>
      <w:divBdr>
        <w:top w:val="none" w:sz="0" w:space="0" w:color="auto"/>
        <w:left w:val="none" w:sz="0" w:space="0" w:color="auto"/>
        <w:bottom w:val="none" w:sz="0" w:space="0" w:color="auto"/>
        <w:right w:val="none" w:sz="0" w:space="0" w:color="auto"/>
      </w:divBdr>
    </w:div>
    <w:div w:id="1043091444">
      <w:bodyDiv w:val="1"/>
      <w:marLeft w:val="0"/>
      <w:marRight w:val="0"/>
      <w:marTop w:val="0"/>
      <w:marBottom w:val="0"/>
      <w:divBdr>
        <w:top w:val="none" w:sz="0" w:space="0" w:color="auto"/>
        <w:left w:val="none" w:sz="0" w:space="0" w:color="auto"/>
        <w:bottom w:val="none" w:sz="0" w:space="0" w:color="auto"/>
        <w:right w:val="none" w:sz="0" w:space="0" w:color="auto"/>
      </w:divBdr>
      <w:divsChild>
        <w:div w:id="1163862093">
          <w:marLeft w:val="1166"/>
          <w:marRight w:val="0"/>
          <w:marTop w:val="77"/>
          <w:marBottom w:val="0"/>
          <w:divBdr>
            <w:top w:val="none" w:sz="0" w:space="0" w:color="auto"/>
            <w:left w:val="none" w:sz="0" w:space="0" w:color="auto"/>
            <w:bottom w:val="none" w:sz="0" w:space="0" w:color="auto"/>
            <w:right w:val="none" w:sz="0" w:space="0" w:color="auto"/>
          </w:divBdr>
        </w:div>
        <w:div w:id="1231422245">
          <w:marLeft w:val="1166"/>
          <w:marRight w:val="0"/>
          <w:marTop w:val="77"/>
          <w:marBottom w:val="0"/>
          <w:divBdr>
            <w:top w:val="none" w:sz="0" w:space="0" w:color="auto"/>
            <w:left w:val="none" w:sz="0" w:space="0" w:color="auto"/>
            <w:bottom w:val="none" w:sz="0" w:space="0" w:color="auto"/>
            <w:right w:val="none" w:sz="0" w:space="0" w:color="auto"/>
          </w:divBdr>
        </w:div>
      </w:divsChild>
    </w:div>
    <w:div w:id="1066299456">
      <w:bodyDiv w:val="1"/>
      <w:marLeft w:val="0"/>
      <w:marRight w:val="0"/>
      <w:marTop w:val="0"/>
      <w:marBottom w:val="0"/>
      <w:divBdr>
        <w:top w:val="none" w:sz="0" w:space="0" w:color="auto"/>
        <w:left w:val="none" w:sz="0" w:space="0" w:color="auto"/>
        <w:bottom w:val="none" w:sz="0" w:space="0" w:color="auto"/>
        <w:right w:val="none" w:sz="0" w:space="0" w:color="auto"/>
      </w:divBdr>
    </w:div>
    <w:div w:id="1104303093">
      <w:bodyDiv w:val="1"/>
      <w:marLeft w:val="0"/>
      <w:marRight w:val="0"/>
      <w:marTop w:val="0"/>
      <w:marBottom w:val="0"/>
      <w:divBdr>
        <w:top w:val="none" w:sz="0" w:space="0" w:color="auto"/>
        <w:left w:val="none" w:sz="0" w:space="0" w:color="auto"/>
        <w:bottom w:val="none" w:sz="0" w:space="0" w:color="auto"/>
        <w:right w:val="none" w:sz="0" w:space="0" w:color="auto"/>
      </w:divBdr>
    </w:div>
    <w:div w:id="1129860835">
      <w:bodyDiv w:val="1"/>
      <w:marLeft w:val="0"/>
      <w:marRight w:val="0"/>
      <w:marTop w:val="0"/>
      <w:marBottom w:val="0"/>
      <w:divBdr>
        <w:top w:val="none" w:sz="0" w:space="0" w:color="auto"/>
        <w:left w:val="none" w:sz="0" w:space="0" w:color="auto"/>
        <w:bottom w:val="none" w:sz="0" w:space="0" w:color="auto"/>
        <w:right w:val="none" w:sz="0" w:space="0" w:color="auto"/>
      </w:divBdr>
      <w:divsChild>
        <w:div w:id="737940516">
          <w:marLeft w:val="1166"/>
          <w:marRight w:val="0"/>
          <w:marTop w:val="96"/>
          <w:marBottom w:val="0"/>
          <w:divBdr>
            <w:top w:val="none" w:sz="0" w:space="0" w:color="auto"/>
            <w:left w:val="none" w:sz="0" w:space="0" w:color="auto"/>
            <w:bottom w:val="none" w:sz="0" w:space="0" w:color="auto"/>
            <w:right w:val="none" w:sz="0" w:space="0" w:color="auto"/>
          </w:divBdr>
        </w:div>
        <w:div w:id="299267871">
          <w:marLeft w:val="1166"/>
          <w:marRight w:val="0"/>
          <w:marTop w:val="96"/>
          <w:marBottom w:val="0"/>
          <w:divBdr>
            <w:top w:val="none" w:sz="0" w:space="0" w:color="auto"/>
            <w:left w:val="none" w:sz="0" w:space="0" w:color="auto"/>
            <w:bottom w:val="none" w:sz="0" w:space="0" w:color="auto"/>
            <w:right w:val="none" w:sz="0" w:space="0" w:color="auto"/>
          </w:divBdr>
        </w:div>
        <w:div w:id="849374081">
          <w:marLeft w:val="1166"/>
          <w:marRight w:val="0"/>
          <w:marTop w:val="96"/>
          <w:marBottom w:val="0"/>
          <w:divBdr>
            <w:top w:val="none" w:sz="0" w:space="0" w:color="auto"/>
            <w:left w:val="none" w:sz="0" w:space="0" w:color="auto"/>
            <w:bottom w:val="none" w:sz="0" w:space="0" w:color="auto"/>
            <w:right w:val="none" w:sz="0" w:space="0" w:color="auto"/>
          </w:divBdr>
        </w:div>
        <w:div w:id="1581139288">
          <w:marLeft w:val="1166"/>
          <w:marRight w:val="0"/>
          <w:marTop w:val="96"/>
          <w:marBottom w:val="0"/>
          <w:divBdr>
            <w:top w:val="none" w:sz="0" w:space="0" w:color="auto"/>
            <w:left w:val="none" w:sz="0" w:space="0" w:color="auto"/>
            <w:bottom w:val="none" w:sz="0" w:space="0" w:color="auto"/>
            <w:right w:val="none" w:sz="0" w:space="0" w:color="auto"/>
          </w:divBdr>
        </w:div>
        <w:div w:id="691804050">
          <w:marLeft w:val="1166"/>
          <w:marRight w:val="0"/>
          <w:marTop w:val="96"/>
          <w:marBottom w:val="0"/>
          <w:divBdr>
            <w:top w:val="none" w:sz="0" w:space="0" w:color="auto"/>
            <w:left w:val="none" w:sz="0" w:space="0" w:color="auto"/>
            <w:bottom w:val="none" w:sz="0" w:space="0" w:color="auto"/>
            <w:right w:val="none" w:sz="0" w:space="0" w:color="auto"/>
          </w:divBdr>
        </w:div>
      </w:divsChild>
    </w:div>
    <w:div w:id="1149202178">
      <w:bodyDiv w:val="1"/>
      <w:marLeft w:val="0"/>
      <w:marRight w:val="0"/>
      <w:marTop w:val="0"/>
      <w:marBottom w:val="0"/>
      <w:divBdr>
        <w:top w:val="none" w:sz="0" w:space="0" w:color="auto"/>
        <w:left w:val="none" w:sz="0" w:space="0" w:color="auto"/>
        <w:bottom w:val="none" w:sz="0" w:space="0" w:color="auto"/>
        <w:right w:val="none" w:sz="0" w:space="0" w:color="auto"/>
      </w:divBdr>
    </w:div>
    <w:div w:id="1157572136">
      <w:bodyDiv w:val="1"/>
      <w:marLeft w:val="0"/>
      <w:marRight w:val="0"/>
      <w:marTop w:val="0"/>
      <w:marBottom w:val="0"/>
      <w:divBdr>
        <w:top w:val="none" w:sz="0" w:space="0" w:color="auto"/>
        <w:left w:val="none" w:sz="0" w:space="0" w:color="auto"/>
        <w:bottom w:val="none" w:sz="0" w:space="0" w:color="auto"/>
        <w:right w:val="none" w:sz="0" w:space="0" w:color="auto"/>
      </w:divBdr>
    </w:div>
    <w:div w:id="1170682246">
      <w:bodyDiv w:val="1"/>
      <w:marLeft w:val="0"/>
      <w:marRight w:val="0"/>
      <w:marTop w:val="0"/>
      <w:marBottom w:val="0"/>
      <w:divBdr>
        <w:top w:val="none" w:sz="0" w:space="0" w:color="auto"/>
        <w:left w:val="none" w:sz="0" w:space="0" w:color="auto"/>
        <w:bottom w:val="none" w:sz="0" w:space="0" w:color="auto"/>
        <w:right w:val="none" w:sz="0" w:space="0" w:color="auto"/>
      </w:divBdr>
    </w:div>
    <w:div w:id="1185749509">
      <w:bodyDiv w:val="1"/>
      <w:marLeft w:val="0"/>
      <w:marRight w:val="0"/>
      <w:marTop w:val="0"/>
      <w:marBottom w:val="0"/>
      <w:divBdr>
        <w:top w:val="none" w:sz="0" w:space="0" w:color="auto"/>
        <w:left w:val="none" w:sz="0" w:space="0" w:color="auto"/>
        <w:bottom w:val="none" w:sz="0" w:space="0" w:color="auto"/>
        <w:right w:val="none" w:sz="0" w:space="0" w:color="auto"/>
      </w:divBdr>
      <w:divsChild>
        <w:div w:id="45957769">
          <w:marLeft w:val="547"/>
          <w:marRight w:val="0"/>
          <w:marTop w:val="96"/>
          <w:marBottom w:val="120"/>
          <w:divBdr>
            <w:top w:val="none" w:sz="0" w:space="0" w:color="auto"/>
            <w:left w:val="none" w:sz="0" w:space="0" w:color="auto"/>
            <w:bottom w:val="none" w:sz="0" w:space="0" w:color="auto"/>
            <w:right w:val="none" w:sz="0" w:space="0" w:color="auto"/>
          </w:divBdr>
        </w:div>
        <w:div w:id="310673334">
          <w:marLeft w:val="547"/>
          <w:marRight w:val="0"/>
          <w:marTop w:val="96"/>
          <w:marBottom w:val="120"/>
          <w:divBdr>
            <w:top w:val="none" w:sz="0" w:space="0" w:color="auto"/>
            <w:left w:val="none" w:sz="0" w:space="0" w:color="auto"/>
            <w:bottom w:val="none" w:sz="0" w:space="0" w:color="auto"/>
            <w:right w:val="none" w:sz="0" w:space="0" w:color="auto"/>
          </w:divBdr>
        </w:div>
        <w:div w:id="401223415">
          <w:marLeft w:val="547"/>
          <w:marRight w:val="0"/>
          <w:marTop w:val="96"/>
          <w:marBottom w:val="120"/>
          <w:divBdr>
            <w:top w:val="none" w:sz="0" w:space="0" w:color="auto"/>
            <w:left w:val="none" w:sz="0" w:space="0" w:color="auto"/>
            <w:bottom w:val="none" w:sz="0" w:space="0" w:color="auto"/>
            <w:right w:val="none" w:sz="0" w:space="0" w:color="auto"/>
          </w:divBdr>
        </w:div>
        <w:div w:id="699472627">
          <w:marLeft w:val="547"/>
          <w:marRight w:val="0"/>
          <w:marTop w:val="96"/>
          <w:marBottom w:val="120"/>
          <w:divBdr>
            <w:top w:val="none" w:sz="0" w:space="0" w:color="auto"/>
            <w:left w:val="none" w:sz="0" w:space="0" w:color="auto"/>
            <w:bottom w:val="none" w:sz="0" w:space="0" w:color="auto"/>
            <w:right w:val="none" w:sz="0" w:space="0" w:color="auto"/>
          </w:divBdr>
        </w:div>
        <w:div w:id="525801005">
          <w:marLeft w:val="547"/>
          <w:marRight w:val="0"/>
          <w:marTop w:val="96"/>
          <w:marBottom w:val="120"/>
          <w:divBdr>
            <w:top w:val="none" w:sz="0" w:space="0" w:color="auto"/>
            <w:left w:val="none" w:sz="0" w:space="0" w:color="auto"/>
            <w:bottom w:val="none" w:sz="0" w:space="0" w:color="auto"/>
            <w:right w:val="none" w:sz="0" w:space="0" w:color="auto"/>
          </w:divBdr>
        </w:div>
        <w:div w:id="1595941465">
          <w:marLeft w:val="547"/>
          <w:marRight w:val="0"/>
          <w:marTop w:val="96"/>
          <w:marBottom w:val="120"/>
          <w:divBdr>
            <w:top w:val="none" w:sz="0" w:space="0" w:color="auto"/>
            <w:left w:val="none" w:sz="0" w:space="0" w:color="auto"/>
            <w:bottom w:val="none" w:sz="0" w:space="0" w:color="auto"/>
            <w:right w:val="none" w:sz="0" w:space="0" w:color="auto"/>
          </w:divBdr>
        </w:div>
        <w:div w:id="384374360">
          <w:marLeft w:val="547"/>
          <w:marRight w:val="0"/>
          <w:marTop w:val="96"/>
          <w:marBottom w:val="120"/>
          <w:divBdr>
            <w:top w:val="none" w:sz="0" w:space="0" w:color="auto"/>
            <w:left w:val="none" w:sz="0" w:space="0" w:color="auto"/>
            <w:bottom w:val="none" w:sz="0" w:space="0" w:color="auto"/>
            <w:right w:val="none" w:sz="0" w:space="0" w:color="auto"/>
          </w:divBdr>
        </w:div>
      </w:divsChild>
    </w:div>
    <w:div w:id="1190606260">
      <w:bodyDiv w:val="1"/>
      <w:marLeft w:val="0"/>
      <w:marRight w:val="0"/>
      <w:marTop w:val="0"/>
      <w:marBottom w:val="0"/>
      <w:divBdr>
        <w:top w:val="none" w:sz="0" w:space="0" w:color="auto"/>
        <w:left w:val="none" w:sz="0" w:space="0" w:color="auto"/>
        <w:bottom w:val="none" w:sz="0" w:space="0" w:color="auto"/>
        <w:right w:val="none" w:sz="0" w:space="0" w:color="auto"/>
      </w:divBdr>
      <w:divsChild>
        <w:div w:id="716244451">
          <w:marLeft w:val="1166"/>
          <w:marRight w:val="0"/>
          <w:marTop w:val="96"/>
          <w:marBottom w:val="0"/>
          <w:divBdr>
            <w:top w:val="none" w:sz="0" w:space="0" w:color="auto"/>
            <w:left w:val="none" w:sz="0" w:space="0" w:color="auto"/>
            <w:bottom w:val="none" w:sz="0" w:space="0" w:color="auto"/>
            <w:right w:val="none" w:sz="0" w:space="0" w:color="auto"/>
          </w:divBdr>
        </w:div>
        <w:div w:id="934902893">
          <w:marLeft w:val="1166"/>
          <w:marRight w:val="0"/>
          <w:marTop w:val="96"/>
          <w:marBottom w:val="0"/>
          <w:divBdr>
            <w:top w:val="none" w:sz="0" w:space="0" w:color="auto"/>
            <w:left w:val="none" w:sz="0" w:space="0" w:color="auto"/>
            <w:bottom w:val="none" w:sz="0" w:space="0" w:color="auto"/>
            <w:right w:val="none" w:sz="0" w:space="0" w:color="auto"/>
          </w:divBdr>
        </w:div>
        <w:div w:id="449932598">
          <w:marLeft w:val="1166"/>
          <w:marRight w:val="0"/>
          <w:marTop w:val="96"/>
          <w:marBottom w:val="0"/>
          <w:divBdr>
            <w:top w:val="none" w:sz="0" w:space="0" w:color="auto"/>
            <w:left w:val="none" w:sz="0" w:space="0" w:color="auto"/>
            <w:bottom w:val="none" w:sz="0" w:space="0" w:color="auto"/>
            <w:right w:val="none" w:sz="0" w:space="0" w:color="auto"/>
          </w:divBdr>
        </w:div>
        <w:div w:id="260113416">
          <w:marLeft w:val="1166"/>
          <w:marRight w:val="0"/>
          <w:marTop w:val="96"/>
          <w:marBottom w:val="0"/>
          <w:divBdr>
            <w:top w:val="none" w:sz="0" w:space="0" w:color="auto"/>
            <w:left w:val="none" w:sz="0" w:space="0" w:color="auto"/>
            <w:bottom w:val="none" w:sz="0" w:space="0" w:color="auto"/>
            <w:right w:val="none" w:sz="0" w:space="0" w:color="auto"/>
          </w:divBdr>
        </w:div>
        <w:div w:id="1532960145">
          <w:marLeft w:val="1166"/>
          <w:marRight w:val="0"/>
          <w:marTop w:val="96"/>
          <w:marBottom w:val="0"/>
          <w:divBdr>
            <w:top w:val="none" w:sz="0" w:space="0" w:color="auto"/>
            <w:left w:val="none" w:sz="0" w:space="0" w:color="auto"/>
            <w:bottom w:val="none" w:sz="0" w:space="0" w:color="auto"/>
            <w:right w:val="none" w:sz="0" w:space="0" w:color="auto"/>
          </w:divBdr>
        </w:div>
      </w:divsChild>
    </w:div>
    <w:div w:id="1230186900">
      <w:bodyDiv w:val="1"/>
      <w:marLeft w:val="0"/>
      <w:marRight w:val="0"/>
      <w:marTop w:val="0"/>
      <w:marBottom w:val="0"/>
      <w:divBdr>
        <w:top w:val="none" w:sz="0" w:space="0" w:color="auto"/>
        <w:left w:val="none" w:sz="0" w:space="0" w:color="auto"/>
        <w:bottom w:val="none" w:sz="0" w:space="0" w:color="auto"/>
        <w:right w:val="none" w:sz="0" w:space="0" w:color="auto"/>
      </w:divBdr>
      <w:divsChild>
        <w:div w:id="510413094">
          <w:marLeft w:val="446"/>
          <w:marRight w:val="0"/>
          <w:marTop w:val="0"/>
          <w:marBottom w:val="60"/>
          <w:divBdr>
            <w:top w:val="none" w:sz="0" w:space="0" w:color="auto"/>
            <w:left w:val="none" w:sz="0" w:space="0" w:color="auto"/>
            <w:bottom w:val="none" w:sz="0" w:space="0" w:color="auto"/>
            <w:right w:val="none" w:sz="0" w:space="0" w:color="auto"/>
          </w:divBdr>
        </w:div>
      </w:divsChild>
    </w:div>
    <w:div w:id="1239633881">
      <w:bodyDiv w:val="1"/>
      <w:marLeft w:val="0"/>
      <w:marRight w:val="0"/>
      <w:marTop w:val="0"/>
      <w:marBottom w:val="0"/>
      <w:divBdr>
        <w:top w:val="none" w:sz="0" w:space="0" w:color="auto"/>
        <w:left w:val="none" w:sz="0" w:space="0" w:color="auto"/>
        <w:bottom w:val="none" w:sz="0" w:space="0" w:color="auto"/>
        <w:right w:val="none" w:sz="0" w:space="0" w:color="auto"/>
      </w:divBdr>
    </w:div>
    <w:div w:id="1243641413">
      <w:bodyDiv w:val="1"/>
      <w:marLeft w:val="0"/>
      <w:marRight w:val="0"/>
      <w:marTop w:val="0"/>
      <w:marBottom w:val="0"/>
      <w:divBdr>
        <w:top w:val="none" w:sz="0" w:space="0" w:color="auto"/>
        <w:left w:val="none" w:sz="0" w:space="0" w:color="auto"/>
        <w:bottom w:val="none" w:sz="0" w:space="0" w:color="auto"/>
        <w:right w:val="none" w:sz="0" w:space="0" w:color="auto"/>
      </w:divBdr>
    </w:div>
    <w:div w:id="1246918251">
      <w:bodyDiv w:val="1"/>
      <w:marLeft w:val="0"/>
      <w:marRight w:val="0"/>
      <w:marTop w:val="0"/>
      <w:marBottom w:val="0"/>
      <w:divBdr>
        <w:top w:val="none" w:sz="0" w:space="0" w:color="auto"/>
        <w:left w:val="none" w:sz="0" w:space="0" w:color="auto"/>
        <w:bottom w:val="none" w:sz="0" w:space="0" w:color="auto"/>
        <w:right w:val="none" w:sz="0" w:space="0" w:color="auto"/>
      </w:divBdr>
    </w:div>
    <w:div w:id="1266159658">
      <w:bodyDiv w:val="1"/>
      <w:marLeft w:val="0"/>
      <w:marRight w:val="0"/>
      <w:marTop w:val="0"/>
      <w:marBottom w:val="0"/>
      <w:divBdr>
        <w:top w:val="none" w:sz="0" w:space="0" w:color="auto"/>
        <w:left w:val="none" w:sz="0" w:space="0" w:color="auto"/>
        <w:bottom w:val="none" w:sz="0" w:space="0" w:color="auto"/>
        <w:right w:val="none" w:sz="0" w:space="0" w:color="auto"/>
      </w:divBdr>
    </w:div>
    <w:div w:id="1301501375">
      <w:bodyDiv w:val="1"/>
      <w:marLeft w:val="0"/>
      <w:marRight w:val="0"/>
      <w:marTop w:val="0"/>
      <w:marBottom w:val="0"/>
      <w:divBdr>
        <w:top w:val="none" w:sz="0" w:space="0" w:color="auto"/>
        <w:left w:val="none" w:sz="0" w:space="0" w:color="auto"/>
        <w:bottom w:val="none" w:sz="0" w:space="0" w:color="auto"/>
        <w:right w:val="none" w:sz="0" w:space="0" w:color="auto"/>
      </w:divBdr>
    </w:div>
    <w:div w:id="1305742505">
      <w:bodyDiv w:val="1"/>
      <w:marLeft w:val="0"/>
      <w:marRight w:val="0"/>
      <w:marTop w:val="0"/>
      <w:marBottom w:val="0"/>
      <w:divBdr>
        <w:top w:val="none" w:sz="0" w:space="0" w:color="auto"/>
        <w:left w:val="none" w:sz="0" w:space="0" w:color="auto"/>
        <w:bottom w:val="none" w:sz="0" w:space="0" w:color="auto"/>
        <w:right w:val="none" w:sz="0" w:space="0" w:color="auto"/>
      </w:divBdr>
      <w:divsChild>
        <w:div w:id="199897688">
          <w:marLeft w:val="288"/>
          <w:marRight w:val="0"/>
          <w:marTop w:val="86"/>
          <w:marBottom w:val="0"/>
          <w:divBdr>
            <w:top w:val="none" w:sz="0" w:space="0" w:color="auto"/>
            <w:left w:val="none" w:sz="0" w:space="0" w:color="auto"/>
            <w:bottom w:val="none" w:sz="0" w:space="0" w:color="auto"/>
            <w:right w:val="none" w:sz="0" w:space="0" w:color="auto"/>
          </w:divBdr>
        </w:div>
        <w:div w:id="1827166600">
          <w:marLeft w:val="979"/>
          <w:marRight w:val="0"/>
          <w:marTop w:val="77"/>
          <w:marBottom w:val="0"/>
          <w:divBdr>
            <w:top w:val="none" w:sz="0" w:space="0" w:color="auto"/>
            <w:left w:val="none" w:sz="0" w:space="0" w:color="auto"/>
            <w:bottom w:val="none" w:sz="0" w:space="0" w:color="auto"/>
            <w:right w:val="none" w:sz="0" w:space="0" w:color="auto"/>
          </w:divBdr>
        </w:div>
        <w:div w:id="1660498594">
          <w:marLeft w:val="979"/>
          <w:marRight w:val="0"/>
          <w:marTop w:val="77"/>
          <w:marBottom w:val="0"/>
          <w:divBdr>
            <w:top w:val="none" w:sz="0" w:space="0" w:color="auto"/>
            <w:left w:val="none" w:sz="0" w:space="0" w:color="auto"/>
            <w:bottom w:val="none" w:sz="0" w:space="0" w:color="auto"/>
            <w:right w:val="none" w:sz="0" w:space="0" w:color="auto"/>
          </w:divBdr>
        </w:div>
        <w:div w:id="19283443">
          <w:marLeft w:val="288"/>
          <w:marRight w:val="0"/>
          <w:marTop w:val="160"/>
          <w:marBottom w:val="0"/>
          <w:divBdr>
            <w:top w:val="none" w:sz="0" w:space="0" w:color="auto"/>
            <w:left w:val="none" w:sz="0" w:space="0" w:color="auto"/>
            <w:bottom w:val="none" w:sz="0" w:space="0" w:color="auto"/>
            <w:right w:val="none" w:sz="0" w:space="0" w:color="auto"/>
          </w:divBdr>
        </w:div>
        <w:div w:id="535237539">
          <w:marLeft w:val="979"/>
          <w:marRight w:val="0"/>
          <w:marTop w:val="77"/>
          <w:marBottom w:val="0"/>
          <w:divBdr>
            <w:top w:val="none" w:sz="0" w:space="0" w:color="auto"/>
            <w:left w:val="none" w:sz="0" w:space="0" w:color="auto"/>
            <w:bottom w:val="none" w:sz="0" w:space="0" w:color="auto"/>
            <w:right w:val="none" w:sz="0" w:space="0" w:color="auto"/>
          </w:divBdr>
        </w:div>
        <w:div w:id="1669475675">
          <w:marLeft w:val="288"/>
          <w:marRight w:val="0"/>
          <w:marTop w:val="160"/>
          <w:marBottom w:val="0"/>
          <w:divBdr>
            <w:top w:val="none" w:sz="0" w:space="0" w:color="auto"/>
            <w:left w:val="none" w:sz="0" w:space="0" w:color="auto"/>
            <w:bottom w:val="none" w:sz="0" w:space="0" w:color="auto"/>
            <w:right w:val="none" w:sz="0" w:space="0" w:color="auto"/>
          </w:divBdr>
        </w:div>
        <w:div w:id="92020507">
          <w:marLeft w:val="979"/>
          <w:marRight w:val="0"/>
          <w:marTop w:val="77"/>
          <w:marBottom w:val="0"/>
          <w:divBdr>
            <w:top w:val="none" w:sz="0" w:space="0" w:color="auto"/>
            <w:left w:val="none" w:sz="0" w:space="0" w:color="auto"/>
            <w:bottom w:val="none" w:sz="0" w:space="0" w:color="auto"/>
            <w:right w:val="none" w:sz="0" w:space="0" w:color="auto"/>
          </w:divBdr>
        </w:div>
        <w:div w:id="1665737150">
          <w:marLeft w:val="979"/>
          <w:marRight w:val="0"/>
          <w:marTop w:val="77"/>
          <w:marBottom w:val="0"/>
          <w:divBdr>
            <w:top w:val="none" w:sz="0" w:space="0" w:color="auto"/>
            <w:left w:val="none" w:sz="0" w:space="0" w:color="auto"/>
            <w:bottom w:val="none" w:sz="0" w:space="0" w:color="auto"/>
            <w:right w:val="none" w:sz="0" w:space="0" w:color="auto"/>
          </w:divBdr>
        </w:div>
        <w:div w:id="84111590">
          <w:marLeft w:val="288"/>
          <w:marRight w:val="0"/>
          <w:marTop w:val="160"/>
          <w:marBottom w:val="0"/>
          <w:divBdr>
            <w:top w:val="none" w:sz="0" w:space="0" w:color="auto"/>
            <w:left w:val="none" w:sz="0" w:space="0" w:color="auto"/>
            <w:bottom w:val="none" w:sz="0" w:space="0" w:color="auto"/>
            <w:right w:val="none" w:sz="0" w:space="0" w:color="auto"/>
          </w:divBdr>
        </w:div>
        <w:div w:id="1157645372">
          <w:marLeft w:val="979"/>
          <w:marRight w:val="0"/>
          <w:marTop w:val="77"/>
          <w:marBottom w:val="0"/>
          <w:divBdr>
            <w:top w:val="none" w:sz="0" w:space="0" w:color="auto"/>
            <w:left w:val="none" w:sz="0" w:space="0" w:color="auto"/>
            <w:bottom w:val="none" w:sz="0" w:space="0" w:color="auto"/>
            <w:right w:val="none" w:sz="0" w:space="0" w:color="auto"/>
          </w:divBdr>
        </w:div>
        <w:div w:id="1041705971">
          <w:marLeft w:val="288"/>
          <w:marRight w:val="0"/>
          <w:marTop w:val="160"/>
          <w:marBottom w:val="0"/>
          <w:divBdr>
            <w:top w:val="none" w:sz="0" w:space="0" w:color="auto"/>
            <w:left w:val="none" w:sz="0" w:space="0" w:color="auto"/>
            <w:bottom w:val="none" w:sz="0" w:space="0" w:color="auto"/>
            <w:right w:val="none" w:sz="0" w:space="0" w:color="auto"/>
          </w:divBdr>
        </w:div>
        <w:div w:id="573397747">
          <w:marLeft w:val="979"/>
          <w:marRight w:val="0"/>
          <w:marTop w:val="77"/>
          <w:marBottom w:val="0"/>
          <w:divBdr>
            <w:top w:val="none" w:sz="0" w:space="0" w:color="auto"/>
            <w:left w:val="none" w:sz="0" w:space="0" w:color="auto"/>
            <w:bottom w:val="none" w:sz="0" w:space="0" w:color="auto"/>
            <w:right w:val="none" w:sz="0" w:space="0" w:color="auto"/>
          </w:divBdr>
        </w:div>
        <w:div w:id="1077437989">
          <w:marLeft w:val="288"/>
          <w:marRight w:val="0"/>
          <w:marTop w:val="160"/>
          <w:marBottom w:val="0"/>
          <w:divBdr>
            <w:top w:val="none" w:sz="0" w:space="0" w:color="auto"/>
            <w:left w:val="none" w:sz="0" w:space="0" w:color="auto"/>
            <w:bottom w:val="none" w:sz="0" w:space="0" w:color="auto"/>
            <w:right w:val="none" w:sz="0" w:space="0" w:color="auto"/>
          </w:divBdr>
        </w:div>
        <w:div w:id="1285500283">
          <w:marLeft w:val="979"/>
          <w:marRight w:val="0"/>
          <w:marTop w:val="77"/>
          <w:marBottom w:val="0"/>
          <w:divBdr>
            <w:top w:val="none" w:sz="0" w:space="0" w:color="auto"/>
            <w:left w:val="none" w:sz="0" w:space="0" w:color="auto"/>
            <w:bottom w:val="none" w:sz="0" w:space="0" w:color="auto"/>
            <w:right w:val="none" w:sz="0" w:space="0" w:color="auto"/>
          </w:divBdr>
        </w:div>
      </w:divsChild>
    </w:div>
    <w:div w:id="1331441652">
      <w:bodyDiv w:val="1"/>
      <w:marLeft w:val="0"/>
      <w:marRight w:val="0"/>
      <w:marTop w:val="0"/>
      <w:marBottom w:val="0"/>
      <w:divBdr>
        <w:top w:val="none" w:sz="0" w:space="0" w:color="auto"/>
        <w:left w:val="none" w:sz="0" w:space="0" w:color="auto"/>
        <w:bottom w:val="none" w:sz="0" w:space="0" w:color="auto"/>
        <w:right w:val="none" w:sz="0" w:space="0" w:color="auto"/>
      </w:divBdr>
    </w:div>
    <w:div w:id="1341931566">
      <w:bodyDiv w:val="1"/>
      <w:marLeft w:val="0"/>
      <w:marRight w:val="0"/>
      <w:marTop w:val="0"/>
      <w:marBottom w:val="0"/>
      <w:divBdr>
        <w:top w:val="none" w:sz="0" w:space="0" w:color="auto"/>
        <w:left w:val="none" w:sz="0" w:space="0" w:color="auto"/>
        <w:bottom w:val="none" w:sz="0" w:space="0" w:color="auto"/>
        <w:right w:val="none" w:sz="0" w:space="0" w:color="auto"/>
      </w:divBdr>
    </w:div>
    <w:div w:id="1347633745">
      <w:bodyDiv w:val="1"/>
      <w:marLeft w:val="0"/>
      <w:marRight w:val="0"/>
      <w:marTop w:val="0"/>
      <w:marBottom w:val="0"/>
      <w:divBdr>
        <w:top w:val="none" w:sz="0" w:space="0" w:color="auto"/>
        <w:left w:val="none" w:sz="0" w:space="0" w:color="auto"/>
        <w:bottom w:val="none" w:sz="0" w:space="0" w:color="auto"/>
        <w:right w:val="none" w:sz="0" w:space="0" w:color="auto"/>
      </w:divBdr>
    </w:div>
    <w:div w:id="1350640309">
      <w:bodyDiv w:val="1"/>
      <w:marLeft w:val="0"/>
      <w:marRight w:val="0"/>
      <w:marTop w:val="0"/>
      <w:marBottom w:val="0"/>
      <w:divBdr>
        <w:top w:val="none" w:sz="0" w:space="0" w:color="auto"/>
        <w:left w:val="none" w:sz="0" w:space="0" w:color="auto"/>
        <w:bottom w:val="none" w:sz="0" w:space="0" w:color="auto"/>
        <w:right w:val="none" w:sz="0" w:space="0" w:color="auto"/>
      </w:divBdr>
    </w:div>
    <w:div w:id="1403914305">
      <w:bodyDiv w:val="1"/>
      <w:marLeft w:val="0"/>
      <w:marRight w:val="0"/>
      <w:marTop w:val="0"/>
      <w:marBottom w:val="0"/>
      <w:divBdr>
        <w:top w:val="none" w:sz="0" w:space="0" w:color="auto"/>
        <w:left w:val="none" w:sz="0" w:space="0" w:color="auto"/>
        <w:bottom w:val="none" w:sz="0" w:space="0" w:color="auto"/>
        <w:right w:val="none" w:sz="0" w:space="0" w:color="auto"/>
      </w:divBdr>
      <w:divsChild>
        <w:div w:id="81731985">
          <w:marLeft w:val="446"/>
          <w:marRight w:val="0"/>
          <w:marTop w:val="0"/>
          <w:marBottom w:val="60"/>
          <w:divBdr>
            <w:top w:val="none" w:sz="0" w:space="0" w:color="auto"/>
            <w:left w:val="none" w:sz="0" w:space="0" w:color="auto"/>
            <w:bottom w:val="none" w:sz="0" w:space="0" w:color="auto"/>
            <w:right w:val="none" w:sz="0" w:space="0" w:color="auto"/>
          </w:divBdr>
        </w:div>
      </w:divsChild>
    </w:div>
    <w:div w:id="1424842267">
      <w:bodyDiv w:val="1"/>
      <w:marLeft w:val="0"/>
      <w:marRight w:val="0"/>
      <w:marTop w:val="0"/>
      <w:marBottom w:val="0"/>
      <w:divBdr>
        <w:top w:val="none" w:sz="0" w:space="0" w:color="auto"/>
        <w:left w:val="none" w:sz="0" w:space="0" w:color="auto"/>
        <w:bottom w:val="none" w:sz="0" w:space="0" w:color="auto"/>
        <w:right w:val="none" w:sz="0" w:space="0" w:color="auto"/>
      </w:divBdr>
      <w:divsChild>
        <w:div w:id="2082868771">
          <w:marLeft w:val="835"/>
          <w:marRight w:val="0"/>
          <w:marTop w:val="60"/>
          <w:marBottom w:val="60"/>
          <w:divBdr>
            <w:top w:val="none" w:sz="0" w:space="0" w:color="auto"/>
            <w:left w:val="none" w:sz="0" w:space="0" w:color="auto"/>
            <w:bottom w:val="none" w:sz="0" w:space="0" w:color="auto"/>
            <w:right w:val="none" w:sz="0" w:space="0" w:color="auto"/>
          </w:divBdr>
        </w:div>
        <w:div w:id="483670625">
          <w:marLeft w:val="835"/>
          <w:marRight w:val="0"/>
          <w:marTop w:val="60"/>
          <w:marBottom w:val="60"/>
          <w:divBdr>
            <w:top w:val="none" w:sz="0" w:space="0" w:color="auto"/>
            <w:left w:val="none" w:sz="0" w:space="0" w:color="auto"/>
            <w:bottom w:val="none" w:sz="0" w:space="0" w:color="auto"/>
            <w:right w:val="none" w:sz="0" w:space="0" w:color="auto"/>
          </w:divBdr>
        </w:div>
        <w:div w:id="1537936255">
          <w:marLeft w:val="835"/>
          <w:marRight w:val="0"/>
          <w:marTop w:val="60"/>
          <w:marBottom w:val="60"/>
          <w:divBdr>
            <w:top w:val="none" w:sz="0" w:space="0" w:color="auto"/>
            <w:left w:val="none" w:sz="0" w:space="0" w:color="auto"/>
            <w:bottom w:val="none" w:sz="0" w:space="0" w:color="auto"/>
            <w:right w:val="none" w:sz="0" w:space="0" w:color="auto"/>
          </w:divBdr>
        </w:div>
        <w:div w:id="155347334">
          <w:marLeft w:val="835"/>
          <w:marRight w:val="0"/>
          <w:marTop w:val="60"/>
          <w:marBottom w:val="60"/>
          <w:divBdr>
            <w:top w:val="none" w:sz="0" w:space="0" w:color="auto"/>
            <w:left w:val="none" w:sz="0" w:space="0" w:color="auto"/>
            <w:bottom w:val="none" w:sz="0" w:space="0" w:color="auto"/>
            <w:right w:val="none" w:sz="0" w:space="0" w:color="auto"/>
          </w:divBdr>
        </w:div>
        <w:div w:id="1894583482">
          <w:marLeft w:val="835"/>
          <w:marRight w:val="0"/>
          <w:marTop w:val="60"/>
          <w:marBottom w:val="60"/>
          <w:divBdr>
            <w:top w:val="none" w:sz="0" w:space="0" w:color="auto"/>
            <w:left w:val="none" w:sz="0" w:space="0" w:color="auto"/>
            <w:bottom w:val="none" w:sz="0" w:space="0" w:color="auto"/>
            <w:right w:val="none" w:sz="0" w:space="0" w:color="auto"/>
          </w:divBdr>
        </w:div>
        <w:div w:id="85082762">
          <w:marLeft w:val="835"/>
          <w:marRight w:val="0"/>
          <w:marTop w:val="60"/>
          <w:marBottom w:val="60"/>
          <w:divBdr>
            <w:top w:val="none" w:sz="0" w:space="0" w:color="auto"/>
            <w:left w:val="none" w:sz="0" w:space="0" w:color="auto"/>
            <w:bottom w:val="none" w:sz="0" w:space="0" w:color="auto"/>
            <w:right w:val="none" w:sz="0" w:space="0" w:color="auto"/>
          </w:divBdr>
        </w:div>
        <w:div w:id="1629319101">
          <w:marLeft w:val="835"/>
          <w:marRight w:val="0"/>
          <w:marTop w:val="60"/>
          <w:marBottom w:val="60"/>
          <w:divBdr>
            <w:top w:val="none" w:sz="0" w:space="0" w:color="auto"/>
            <w:left w:val="none" w:sz="0" w:space="0" w:color="auto"/>
            <w:bottom w:val="none" w:sz="0" w:space="0" w:color="auto"/>
            <w:right w:val="none" w:sz="0" w:space="0" w:color="auto"/>
          </w:divBdr>
        </w:div>
      </w:divsChild>
    </w:div>
    <w:div w:id="1430203114">
      <w:bodyDiv w:val="1"/>
      <w:marLeft w:val="0"/>
      <w:marRight w:val="0"/>
      <w:marTop w:val="0"/>
      <w:marBottom w:val="0"/>
      <w:divBdr>
        <w:top w:val="none" w:sz="0" w:space="0" w:color="auto"/>
        <w:left w:val="none" w:sz="0" w:space="0" w:color="auto"/>
        <w:bottom w:val="none" w:sz="0" w:space="0" w:color="auto"/>
        <w:right w:val="none" w:sz="0" w:space="0" w:color="auto"/>
      </w:divBdr>
      <w:divsChild>
        <w:div w:id="1842424602">
          <w:marLeft w:val="1800"/>
          <w:marRight w:val="0"/>
          <w:marTop w:val="96"/>
          <w:marBottom w:val="0"/>
          <w:divBdr>
            <w:top w:val="none" w:sz="0" w:space="0" w:color="auto"/>
            <w:left w:val="none" w:sz="0" w:space="0" w:color="auto"/>
            <w:bottom w:val="none" w:sz="0" w:space="0" w:color="auto"/>
            <w:right w:val="none" w:sz="0" w:space="0" w:color="auto"/>
          </w:divBdr>
        </w:div>
        <w:div w:id="537206903">
          <w:marLeft w:val="1800"/>
          <w:marRight w:val="0"/>
          <w:marTop w:val="96"/>
          <w:marBottom w:val="0"/>
          <w:divBdr>
            <w:top w:val="none" w:sz="0" w:space="0" w:color="auto"/>
            <w:left w:val="none" w:sz="0" w:space="0" w:color="auto"/>
            <w:bottom w:val="none" w:sz="0" w:space="0" w:color="auto"/>
            <w:right w:val="none" w:sz="0" w:space="0" w:color="auto"/>
          </w:divBdr>
        </w:div>
        <w:div w:id="2026708710">
          <w:marLeft w:val="1800"/>
          <w:marRight w:val="0"/>
          <w:marTop w:val="96"/>
          <w:marBottom w:val="0"/>
          <w:divBdr>
            <w:top w:val="none" w:sz="0" w:space="0" w:color="auto"/>
            <w:left w:val="none" w:sz="0" w:space="0" w:color="auto"/>
            <w:bottom w:val="none" w:sz="0" w:space="0" w:color="auto"/>
            <w:right w:val="none" w:sz="0" w:space="0" w:color="auto"/>
          </w:divBdr>
        </w:div>
        <w:div w:id="1868450735">
          <w:marLeft w:val="1800"/>
          <w:marRight w:val="0"/>
          <w:marTop w:val="96"/>
          <w:marBottom w:val="0"/>
          <w:divBdr>
            <w:top w:val="none" w:sz="0" w:space="0" w:color="auto"/>
            <w:left w:val="none" w:sz="0" w:space="0" w:color="auto"/>
            <w:bottom w:val="none" w:sz="0" w:space="0" w:color="auto"/>
            <w:right w:val="none" w:sz="0" w:space="0" w:color="auto"/>
          </w:divBdr>
        </w:div>
        <w:div w:id="570968463">
          <w:marLeft w:val="1800"/>
          <w:marRight w:val="0"/>
          <w:marTop w:val="96"/>
          <w:marBottom w:val="0"/>
          <w:divBdr>
            <w:top w:val="none" w:sz="0" w:space="0" w:color="auto"/>
            <w:left w:val="none" w:sz="0" w:space="0" w:color="auto"/>
            <w:bottom w:val="none" w:sz="0" w:space="0" w:color="auto"/>
            <w:right w:val="none" w:sz="0" w:space="0" w:color="auto"/>
          </w:divBdr>
        </w:div>
        <w:div w:id="318772551">
          <w:marLeft w:val="1800"/>
          <w:marRight w:val="0"/>
          <w:marTop w:val="96"/>
          <w:marBottom w:val="0"/>
          <w:divBdr>
            <w:top w:val="none" w:sz="0" w:space="0" w:color="auto"/>
            <w:left w:val="none" w:sz="0" w:space="0" w:color="auto"/>
            <w:bottom w:val="none" w:sz="0" w:space="0" w:color="auto"/>
            <w:right w:val="none" w:sz="0" w:space="0" w:color="auto"/>
          </w:divBdr>
        </w:div>
      </w:divsChild>
    </w:div>
    <w:div w:id="1480533925">
      <w:bodyDiv w:val="1"/>
      <w:marLeft w:val="0"/>
      <w:marRight w:val="0"/>
      <w:marTop w:val="0"/>
      <w:marBottom w:val="0"/>
      <w:divBdr>
        <w:top w:val="none" w:sz="0" w:space="0" w:color="auto"/>
        <w:left w:val="none" w:sz="0" w:space="0" w:color="auto"/>
        <w:bottom w:val="none" w:sz="0" w:space="0" w:color="auto"/>
        <w:right w:val="none" w:sz="0" w:space="0" w:color="auto"/>
      </w:divBdr>
    </w:div>
    <w:div w:id="1482575871">
      <w:bodyDiv w:val="1"/>
      <w:marLeft w:val="0"/>
      <w:marRight w:val="0"/>
      <w:marTop w:val="0"/>
      <w:marBottom w:val="0"/>
      <w:divBdr>
        <w:top w:val="none" w:sz="0" w:space="0" w:color="auto"/>
        <w:left w:val="none" w:sz="0" w:space="0" w:color="auto"/>
        <w:bottom w:val="none" w:sz="0" w:space="0" w:color="auto"/>
        <w:right w:val="none" w:sz="0" w:space="0" w:color="auto"/>
      </w:divBdr>
    </w:div>
    <w:div w:id="1491561415">
      <w:bodyDiv w:val="1"/>
      <w:marLeft w:val="0"/>
      <w:marRight w:val="0"/>
      <w:marTop w:val="0"/>
      <w:marBottom w:val="0"/>
      <w:divBdr>
        <w:top w:val="none" w:sz="0" w:space="0" w:color="auto"/>
        <w:left w:val="none" w:sz="0" w:space="0" w:color="auto"/>
        <w:bottom w:val="none" w:sz="0" w:space="0" w:color="auto"/>
        <w:right w:val="none" w:sz="0" w:space="0" w:color="auto"/>
      </w:divBdr>
    </w:div>
    <w:div w:id="1507208818">
      <w:bodyDiv w:val="1"/>
      <w:marLeft w:val="0"/>
      <w:marRight w:val="0"/>
      <w:marTop w:val="0"/>
      <w:marBottom w:val="0"/>
      <w:divBdr>
        <w:top w:val="none" w:sz="0" w:space="0" w:color="auto"/>
        <w:left w:val="none" w:sz="0" w:space="0" w:color="auto"/>
        <w:bottom w:val="none" w:sz="0" w:space="0" w:color="auto"/>
        <w:right w:val="none" w:sz="0" w:space="0" w:color="auto"/>
      </w:divBdr>
    </w:div>
    <w:div w:id="1542474253">
      <w:bodyDiv w:val="1"/>
      <w:marLeft w:val="0"/>
      <w:marRight w:val="0"/>
      <w:marTop w:val="0"/>
      <w:marBottom w:val="0"/>
      <w:divBdr>
        <w:top w:val="none" w:sz="0" w:space="0" w:color="auto"/>
        <w:left w:val="none" w:sz="0" w:space="0" w:color="auto"/>
        <w:bottom w:val="none" w:sz="0" w:space="0" w:color="auto"/>
        <w:right w:val="none" w:sz="0" w:space="0" w:color="auto"/>
      </w:divBdr>
    </w:div>
    <w:div w:id="1545678907">
      <w:bodyDiv w:val="1"/>
      <w:marLeft w:val="0"/>
      <w:marRight w:val="0"/>
      <w:marTop w:val="0"/>
      <w:marBottom w:val="0"/>
      <w:divBdr>
        <w:top w:val="none" w:sz="0" w:space="0" w:color="auto"/>
        <w:left w:val="none" w:sz="0" w:space="0" w:color="auto"/>
        <w:bottom w:val="none" w:sz="0" w:space="0" w:color="auto"/>
        <w:right w:val="none" w:sz="0" w:space="0" w:color="auto"/>
      </w:divBdr>
    </w:div>
    <w:div w:id="1570920756">
      <w:bodyDiv w:val="1"/>
      <w:marLeft w:val="0"/>
      <w:marRight w:val="0"/>
      <w:marTop w:val="0"/>
      <w:marBottom w:val="0"/>
      <w:divBdr>
        <w:top w:val="none" w:sz="0" w:space="0" w:color="auto"/>
        <w:left w:val="none" w:sz="0" w:space="0" w:color="auto"/>
        <w:bottom w:val="none" w:sz="0" w:space="0" w:color="auto"/>
        <w:right w:val="none" w:sz="0" w:space="0" w:color="auto"/>
      </w:divBdr>
    </w:div>
    <w:div w:id="1582252800">
      <w:bodyDiv w:val="1"/>
      <w:marLeft w:val="0"/>
      <w:marRight w:val="0"/>
      <w:marTop w:val="0"/>
      <w:marBottom w:val="0"/>
      <w:divBdr>
        <w:top w:val="none" w:sz="0" w:space="0" w:color="auto"/>
        <w:left w:val="none" w:sz="0" w:space="0" w:color="auto"/>
        <w:bottom w:val="none" w:sz="0" w:space="0" w:color="auto"/>
        <w:right w:val="none" w:sz="0" w:space="0" w:color="auto"/>
      </w:divBdr>
      <w:divsChild>
        <w:div w:id="284890176">
          <w:marLeft w:val="446"/>
          <w:marRight w:val="0"/>
          <w:marTop w:val="0"/>
          <w:marBottom w:val="0"/>
          <w:divBdr>
            <w:top w:val="none" w:sz="0" w:space="0" w:color="auto"/>
            <w:left w:val="none" w:sz="0" w:space="0" w:color="auto"/>
            <w:bottom w:val="none" w:sz="0" w:space="0" w:color="auto"/>
            <w:right w:val="none" w:sz="0" w:space="0" w:color="auto"/>
          </w:divBdr>
        </w:div>
        <w:div w:id="1442722349">
          <w:marLeft w:val="446"/>
          <w:marRight w:val="0"/>
          <w:marTop w:val="0"/>
          <w:marBottom w:val="0"/>
          <w:divBdr>
            <w:top w:val="none" w:sz="0" w:space="0" w:color="auto"/>
            <w:left w:val="none" w:sz="0" w:space="0" w:color="auto"/>
            <w:bottom w:val="none" w:sz="0" w:space="0" w:color="auto"/>
            <w:right w:val="none" w:sz="0" w:space="0" w:color="auto"/>
          </w:divBdr>
        </w:div>
        <w:div w:id="1038167877">
          <w:marLeft w:val="446"/>
          <w:marRight w:val="0"/>
          <w:marTop w:val="0"/>
          <w:marBottom w:val="0"/>
          <w:divBdr>
            <w:top w:val="none" w:sz="0" w:space="0" w:color="auto"/>
            <w:left w:val="none" w:sz="0" w:space="0" w:color="auto"/>
            <w:bottom w:val="none" w:sz="0" w:space="0" w:color="auto"/>
            <w:right w:val="none" w:sz="0" w:space="0" w:color="auto"/>
          </w:divBdr>
        </w:div>
        <w:div w:id="1377510174">
          <w:marLeft w:val="446"/>
          <w:marRight w:val="0"/>
          <w:marTop w:val="0"/>
          <w:marBottom w:val="0"/>
          <w:divBdr>
            <w:top w:val="none" w:sz="0" w:space="0" w:color="auto"/>
            <w:left w:val="none" w:sz="0" w:space="0" w:color="auto"/>
            <w:bottom w:val="none" w:sz="0" w:space="0" w:color="auto"/>
            <w:right w:val="none" w:sz="0" w:space="0" w:color="auto"/>
          </w:divBdr>
        </w:div>
        <w:div w:id="1445423484">
          <w:marLeft w:val="446"/>
          <w:marRight w:val="0"/>
          <w:marTop w:val="0"/>
          <w:marBottom w:val="0"/>
          <w:divBdr>
            <w:top w:val="none" w:sz="0" w:space="0" w:color="auto"/>
            <w:left w:val="none" w:sz="0" w:space="0" w:color="auto"/>
            <w:bottom w:val="none" w:sz="0" w:space="0" w:color="auto"/>
            <w:right w:val="none" w:sz="0" w:space="0" w:color="auto"/>
          </w:divBdr>
        </w:div>
        <w:div w:id="1590233191">
          <w:marLeft w:val="446"/>
          <w:marRight w:val="0"/>
          <w:marTop w:val="0"/>
          <w:marBottom w:val="0"/>
          <w:divBdr>
            <w:top w:val="none" w:sz="0" w:space="0" w:color="auto"/>
            <w:left w:val="none" w:sz="0" w:space="0" w:color="auto"/>
            <w:bottom w:val="none" w:sz="0" w:space="0" w:color="auto"/>
            <w:right w:val="none" w:sz="0" w:space="0" w:color="auto"/>
          </w:divBdr>
        </w:div>
        <w:div w:id="1526939504">
          <w:marLeft w:val="446"/>
          <w:marRight w:val="0"/>
          <w:marTop w:val="0"/>
          <w:marBottom w:val="0"/>
          <w:divBdr>
            <w:top w:val="none" w:sz="0" w:space="0" w:color="auto"/>
            <w:left w:val="none" w:sz="0" w:space="0" w:color="auto"/>
            <w:bottom w:val="none" w:sz="0" w:space="0" w:color="auto"/>
            <w:right w:val="none" w:sz="0" w:space="0" w:color="auto"/>
          </w:divBdr>
        </w:div>
        <w:div w:id="1455902523">
          <w:marLeft w:val="446"/>
          <w:marRight w:val="0"/>
          <w:marTop w:val="0"/>
          <w:marBottom w:val="0"/>
          <w:divBdr>
            <w:top w:val="none" w:sz="0" w:space="0" w:color="auto"/>
            <w:left w:val="none" w:sz="0" w:space="0" w:color="auto"/>
            <w:bottom w:val="none" w:sz="0" w:space="0" w:color="auto"/>
            <w:right w:val="none" w:sz="0" w:space="0" w:color="auto"/>
          </w:divBdr>
        </w:div>
        <w:div w:id="218320361">
          <w:marLeft w:val="446"/>
          <w:marRight w:val="0"/>
          <w:marTop w:val="0"/>
          <w:marBottom w:val="0"/>
          <w:divBdr>
            <w:top w:val="none" w:sz="0" w:space="0" w:color="auto"/>
            <w:left w:val="none" w:sz="0" w:space="0" w:color="auto"/>
            <w:bottom w:val="none" w:sz="0" w:space="0" w:color="auto"/>
            <w:right w:val="none" w:sz="0" w:space="0" w:color="auto"/>
          </w:divBdr>
        </w:div>
        <w:div w:id="2056922871">
          <w:marLeft w:val="446"/>
          <w:marRight w:val="0"/>
          <w:marTop w:val="0"/>
          <w:marBottom w:val="0"/>
          <w:divBdr>
            <w:top w:val="none" w:sz="0" w:space="0" w:color="auto"/>
            <w:left w:val="none" w:sz="0" w:space="0" w:color="auto"/>
            <w:bottom w:val="none" w:sz="0" w:space="0" w:color="auto"/>
            <w:right w:val="none" w:sz="0" w:space="0" w:color="auto"/>
          </w:divBdr>
        </w:div>
        <w:div w:id="155000563">
          <w:marLeft w:val="446"/>
          <w:marRight w:val="0"/>
          <w:marTop w:val="0"/>
          <w:marBottom w:val="0"/>
          <w:divBdr>
            <w:top w:val="none" w:sz="0" w:space="0" w:color="auto"/>
            <w:left w:val="none" w:sz="0" w:space="0" w:color="auto"/>
            <w:bottom w:val="none" w:sz="0" w:space="0" w:color="auto"/>
            <w:right w:val="none" w:sz="0" w:space="0" w:color="auto"/>
          </w:divBdr>
        </w:div>
        <w:div w:id="477840561">
          <w:marLeft w:val="446"/>
          <w:marRight w:val="0"/>
          <w:marTop w:val="0"/>
          <w:marBottom w:val="0"/>
          <w:divBdr>
            <w:top w:val="none" w:sz="0" w:space="0" w:color="auto"/>
            <w:left w:val="none" w:sz="0" w:space="0" w:color="auto"/>
            <w:bottom w:val="none" w:sz="0" w:space="0" w:color="auto"/>
            <w:right w:val="none" w:sz="0" w:space="0" w:color="auto"/>
          </w:divBdr>
        </w:div>
        <w:div w:id="989868323">
          <w:marLeft w:val="446"/>
          <w:marRight w:val="0"/>
          <w:marTop w:val="0"/>
          <w:marBottom w:val="0"/>
          <w:divBdr>
            <w:top w:val="none" w:sz="0" w:space="0" w:color="auto"/>
            <w:left w:val="none" w:sz="0" w:space="0" w:color="auto"/>
            <w:bottom w:val="none" w:sz="0" w:space="0" w:color="auto"/>
            <w:right w:val="none" w:sz="0" w:space="0" w:color="auto"/>
          </w:divBdr>
        </w:div>
        <w:div w:id="728382866">
          <w:marLeft w:val="446"/>
          <w:marRight w:val="0"/>
          <w:marTop w:val="0"/>
          <w:marBottom w:val="0"/>
          <w:divBdr>
            <w:top w:val="none" w:sz="0" w:space="0" w:color="auto"/>
            <w:left w:val="none" w:sz="0" w:space="0" w:color="auto"/>
            <w:bottom w:val="none" w:sz="0" w:space="0" w:color="auto"/>
            <w:right w:val="none" w:sz="0" w:space="0" w:color="auto"/>
          </w:divBdr>
        </w:div>
        <w:div w:id="270481476">
          <w:marLeft w:val="446"/>
          <w:marRight w:val="0"/>
          <w:marTop w:val="0"/>
          <w:marBottom w:val="0"/>
          <w:divBdr>
            <w:top w:val="none" w:sz="0" w:space="0" w:color="auto"/>
            <w:left w:val="none" w:sz="0" w:space="0" w:color="auto"/>
            <w:bottom w:val="none" w:sz="0" w:space="0" w:color="auto"/>
            <w:right w:val="none" w:sz="0" w:space="0" w:color="auto"/>
          </w:divBdr>
        </w:div>
        <w:div w:id="487137373">
          <w:marLeft w:val="446"/>
          <w:marRight w:val="0"/>
          <w:marTop w:val="0"/>
          <w:marBottom w:val="0"/>
          <w:divBdr>
            <w:top w:val="none" w:sz="0" w:space="0" w:color="auto"/>
            <w:left w:val="none" w:sz="0" w:space="0" w:color="auto"/>
            <w:bottom w:val="none" w:sz="0" w:space="0" w:color="auto"/>
            <w:right w:val="none" w:sz="0" w:space="0" w:color="auto"/>
          </w:divBdr>
        </w:div>
        <w:div w:id="601962004">
          <w:marLeft w:val="446"/>
          <w:marRight w:val="0"/>
          <w:marTop w:val="0"/>
          <w:marBottom w:val="0"/>
          <w:divBdr>
            <w:top w:val="none" w:sz="0" w:space="0" w:color="auto"/>
            <w:left w:val="none" w:sz="0" w:space="0" w:color="auto"/>
            <w:bottom w:val="none" w:sz="0" w:space="0" w:color="auto"/>
            <w:right w:val="none" w:sz="0" w:space="0" w:color="auto"/>
          </w:divBdr>
        </w:div>
      </w:divsChild>
    </w:div>
    <w:div w:id="1619027625">
      <w:bodyDiv w:val="1"/>
      <w:marLeft w:val="0"/>
      <w:marRight w:val="0"/>
      <w:marTop w:val="0"/>
      <w:marBottom w:val="0"/>
      <w:divBdr>
        <w:top w:val="none" w:sz="0" w:space="0" w:color="auto"/>
        <w:left w:val="none" w:sz="0" w:space="0" w:color="auto"/>
        <w:bottom w:val="none" w:sz="0" w:space="0" w:color="auto"/>
        <w:right w:val="none" w:sz="0" w:space="0" w:color="auto"/>
      </w:divBdr>
      <w:divsChild>
        <w:div w:id="2101026495">
          <w:marLeft w:val="274"/>
          <w:marRight w:val="0"/>
          <w:marTop w:val="0"/>
          <w:marBottom w:val="0"/>
          <w:divBdr>
            <w:top w:val="none" w:sz="0" w:space="0" w:color="auto"/>
            <w:left w:val="none" w:sz="0" w:space="0" w:color="auto"/>
            <w:bottom w:val="none" w:sz="0" w:space="0" w:color="auto"/>
            <w:right w:val="none" w:sz="0" w:space="0" w:color="auto"/>
          </w:divBdr>
        </w:div>
        <w:div w:id="1569607655">
          <w:marLeft w:val="994"/>
          <w:marRight w:val="0"/>
          <w:marTop w:val="0"/>
          <w:marBottom w:val="0"/>
          <w:divBdr>
            <w:top w:val="none" w:sz="0" w:space="0" w:color="auto"/>
            <w:left w:val="none" w:sz="0" w:space="0" w:color="auto"/>
            <w:bottom w:val="none" w:sz="0" w:space="0" w:color="auto"/>
            <w:right w:val="none" w:sz="0" w:space="0" w:color="auto"/>
          </w:divBdr>
        </w:div>
        <w:div w:id="220136513">
          <w:marLeft w:val="994"/>
          <w:marRight w:val="0"/>
          <w:marTop w:val="0"/>
          <w:marBottom w:val="0"/>
          <w:divBdr>
            <w:top w:val="none" w:sz="0" w:space="0" w:color="auto"/>
            <w:left w:val="none" w:sz="0" w:space="0" w:color="auto"/>
            <w:bottom w:val="none" w:sz="0" w:space="0" w:color="auto"/>
            <w:right w:val="none" w:sz="0" w:space="0" w:color="auto"/>
          </w:divBdr>
        </w:div>
        <w:div w:id="2123913039">
          <w:marLeft w:val="274"/>
          <w:marRight w:val="0"/>
          <w:marTop w:val="0"/>
          <w:marBottom w:val="0"/>
          <w:divBdr>
            <w:top w:val="none" w:sz="0" w:space="0" w:color="auto"/>
            <w:left w:val="none" w:sz="0" w:space="0" w:color="auto"/>
            <w:bottom w:val="none" w:sz="0" w:space="0" w:color="auto"/>
            <w:right w:val="none" w:sz="0" w:space="0" w:color="auto"/>
          </w:divBdr>
        </w:div>
        <w:div w:id="1702434157">
          <w:marLeft w:val="994"/>
          <w:marRight w:val="0"/>
          <w:marTop w:val="0"/>
          <w:marBottom w:val="0"/>
          <w:divBdr>
            <w:top w:val="none" w:sz="0" w:space="0" w:color="auto"/>
            <w:left w:val="none" w:sz="0" w:space="0" w:color="auto"/>
            <w:bottom w:val="none" w:sz="0" w:space="0" w:color="auto"/>
            <w:right w:val="none" w:sz="0" w:space="0" w:color="auto"/>
          </w:divBdr>
        </w:div>
        <w:div w:id="1558711118">
          <w:marLeft w:val="994"/>
          <w:marRight w:val="0"/>
          <w:marTop w:val="0"/>
          <w:marBottom w:val="0"/>
          <w:divBdr>
            <w:top w:val="none" w:sz="0" w:space="0" w:color="auto"/>
            <w:left w:val="none" w:sz="0" w:space="0" w:color="auto"/>
            <w:bottom w:val="none" w:sz="0" w:space="0" w:color="auto"/>
            <w:right w:val="none" w:sz="0" w:space="0" w:color="auto"/>
          </w:divBdr>
        </w:div>
        <w:div w:id="1607956604">
          <w:marLeft w:val="994"/>
          <w:marRight w:val="0"/>
          <w:marTop w:val="0"/>
          <w:marBottom w:val="0"/>
          <w:divBdr>
            <w:top w:val="none" w:sz="0" w:space="0" w:color="auto"/>
            <w:left w:val="none" w:sz="0" w:space="0" w:color="auto"/>
            <w:bottom w:val="none" w:sz="0" w:space="0" w:color="auto"/>
            <w:right w:val="none" w:sz="0" w:space="0" w:color="auto"/>
          </w:divBdr>
        </w:div>
      </w:divsChild>
    </w:div>
    <w:div w:id="1636794297">
      <w:bodyDiv w:val="1"/>
      <w:marLeft w:val="0"/>
      <w:marRight w:val="0"/>
      <w:marTop w:val="0"/>
      <w:marBottom w:val="0"/>
      <w:divBdr>
        <w:top w:val="none" w:sz="0" w:space="0" w:color="auto"/>
        <w:left w:val="none" w:sz="0" w:space="0" w:color="auto"/>
        <w:bottom w:val="none" w:sz="0" w:space="0" w:color="auto"/>
        <w:right w:val="none" w:sz="0" w:space="0" w:color="auto"/>
      </w:divBdr>
      <w:divsChild>
        <w:div w:id="1287587101">
          <w:marLeft w:val="288"/>
          <w:marRight w:val="0"/>
          <w:marTop w:val="86"/>
          <w:marBottom w:val="0"/>
          <w:divBdr>
            <w:top w:val="none" w:sz="0" w:space="0" w:color="auto"/>
            <w:left w:val="none" w:sz="0" w:space="0" w:color="auto"/>
            <w:bottom w:val="none" w:sz="0" w:space="0" w:color="auto"/>
            <w:right w:val="none" w:sz="0" w:space="0" w:color="auto"/>
          </w:divBdr>
        </w:div>
        <w:div w:id="1043095233">
          <w:marLeft w:val="979"/>
          <w:marRight w:val="0"/>
          <w:marTop w:val="77"/>
          <w:marBottom w:val="0"/>
          <w:divBdr>
            <w:top w:val="none" w:sz="0" w:space="0" w:color="auto"/>
            <w:left w:val="none" w:sz="0" w:space="0" w:color="auto"/>
            <w:bottom w:val="none" w:sz="0" w:space="0" w:color="auto"/>
            <w:right w:val="none" w:sz="0" w:space="0" w:color="auto"/>
          </w:divBdr>
        </w:div>
        <w:div w:id="1160002125">
          <w:marLeft w:val="979"/>
          <w:marRight w:val="0"/>
          <w:marTop w:val="77"/>
          <w:marBottom w:val="0"/>
          <w:divBdr>
            <w:top w:val="none" w:sz="0" w:space="0" w:color="auto"/>
            <w:left w:val="none" w:sz="0" w:space="0" w:color="auto"/>
            <w:bottom w:val="none" w:sz="0" w:space="0" w:color="auto"/>
            <w:right w:val="none" w:sz="0" w:space="0" w:color="auto"/>
          </w:divBdr>
        </w:div>
        <w:div w:id="907810777">
          <w:marLeft w:val="288"/>
          <w:marRight w:val="0"/>
          <w:marTop w:val="160"/>
          <w:marBottom w:val="0"/>
          <w:divBdr>
            <w:top w:val="none" w:sz="0" w:space="0" w:color="auto"/>
            <w:left w:val="none" w:sz="0" w:space="0" w:color="auto"/>
            <w:bottom w:val="none" w:sz="0" w:space="0" w:color="auto"/>
            <w:right w:val="none" w:sz="0" w:space="0" w:color="auto"/>
          </w:divBdr>
        </w:div>
        <w:div w:id="1812558808">
          <w:marLeft w:val="979"/>
          <w:marRight w:val="0"/>
          <w:marTop w:val="77"/>
          <w:marBottom w:val="0"/>
          <w:divBdr>
            <w:top w:val="none" w:sz="0" w:space="0" w:color="auto"/>
            <w:left w:val="none" w:sz="0" w:space="0" w:color="auto"/>
            <w:bottom w:val="none" w:sz="0" w:space="0" w:color="auto"/>
            <w:right w:val="none" w:sz="0" w:space="0" w:color="auto"/>
          </w:divBdr>
        </w:div>
        <w:div w:id="1055471375">
          <w:marLeft w:val="288"/>
          <w:marRight w:val="0"/>
          <w:marTop w:val="160"/>
          <w:marBottom w:val="0"/>
          <w:divBdr>
            <w:top w:val="none" w:sz="0" w:space="0" w:color="auto"/>
            <w:left w:val="none" w:sz="0" w:space="0" w:color="auto"/>
            <w:bottom w:val="none" w:sz="0" w:space="0" w:color="auto"/>
            <w:right w:val="none" w:sz="0" w:space="0" w:color="auto"/>
          </w:divBdr>
        </w:div>
        <w:div w:id="1609653488">
          <w:marLeft w:val="979"/>
          <w:marRight w:val="0"/>
          <w:marTop w:val="77"/>
          <w:marBottom w:val="0"/>
          <w:divBdr>
            <w:top w:val="none" w:sz="0" w:space="0" w:color="auto"/>
            <w:left w:val="none" w:sz="0" w:space="0" w:color="auto"/>
            <w:bottom w:val="none" w:sz="0" w:space="0" w:color="auto"/>
            <w:right w:val="none" w:sz="0" w:space="0" w:color="auto"/>
          </w:divBdr>
        </w:div>
        <w:div w:id="68621026">
          <w:marLeft w:val="979"/>
          <w:marRight w:val="0"/>
          <w:marTop w:val="77"/>
          <w:marBottom w:val="0"/>
          <w:divBdr>
            <w:top w:val="none" w:sz="0" w:space="0" w:color="auto"/>
            <w:left w:val="none" w:sz="0" w:space="0" w:color="auto"/>
            <w:bottom w:val="none" w:sz="0" w:space="0" w:color="auto"/>
            <w:right w:val="none" w:sz="0" w:space="0" w:color="auto"/>
          </w:divBdr>
        </w:div>
        <w:div w:id="1981884480">
          <w:marLeft w:val="288"/>
          <w:marRight w:val="0"/>
          <w:marTop w:val="160"/>
          <w:marBottom w:val="0"/>
          <w:divBdr>
            <w:top w:val="none" w:sz="0" w:space="0" w:color="auto"/>
            <w:left w:val="none" w:sz="0" w:space="0" w:color="auto"/>
            <w:bottom w:val="none" w:sz="0" w:space="0" w:color="auto"/>
            <w:right w:val="none" w:sz="0" w:space="0" w:color="auto"/>
          </w:divBdr>
        </w:div>
        <w:div w:id="625695490">
          <w:marLeft w:val="979"/>
          <w:marRight w:val="0"/>
          <w:marTop w:val="77"/>
          <w:marBottom w:val="0"/>
          <w:divBdr>
            <w:top w:val="none" w:sz="0" w:space="0" w:color="auto"/>
            <w:left w:val="none" w:sz="0" w:space="0" w:color="auto"/>
            <w:bottom w:val="none" w:sz="0" w:space="0" w:color="auto"/>
            <w:right w:val="none" w:sz="0" w:space="0" w:color="auto"/>
          </w:divBdr>
        </w:div>
        <w:div w:id="1972666038">
          <w:marLeft w:val="288"/>
          <w:marRight w:val="0"/>
          <w:marTop w:val="160"/>
          <w:marBottom w:val="0"/>
          <w:divBdr>
            <w:top w:val="none" w:sz="0" w:space="0" w:color="auto"/>
            <w:left w:val="none" w:sz="0" w:space="0" w:color="auto"/>
            <w:bottom w:val="none" w:sz="0" w:space="0" w:color="auto"/>
            <w:right w:val="none" w:sz="0" w:space="0" w:color="auto"/>
          </w:divBdr>
        </w:div>
        <w:div w:id="1052000235">
          <w:marLeft w:val="979"/>
          <w:marRight w:val="0"/>
          <w:marTop w:val="77"/>
          <w:marBottom w:val="0"/>
          <w:divBdr>
            <w:top w:val="none" w:sz="0" w:space="0" w:color="auto"/>
            <w:left w:val="none" w:sz="0" w:space="0" w:color="auto"/>
            <w:bottom w:val="none" w:sz="0" w:space="0" w:color="auto"/>
            <w:right w:val="none" w:sz="0" w:space="0" w:color="auto"/>
          </w:divBdr>
        </w:div>
        <w:div w:id="770903623">
          <w:marLeft w:val="288"/>
          <w:marRight w:val="0"/>
          <w:marTop w:val="160"/>
          <w:marBottom w:val="0"/>
          <w:divBdr>
            <w:top w:val="none" w:sz="0" w:space="0" w:color="auto"/>
            <w:left w:val="none" w:sz="0" w:space="0" w:color="auto"/>
            <w:bottom w:val="none" w:sz="0" w:space="0" w:color="auto"/>
            <w:right w:val="none" w:sz="0" w:space="0" w:color="auto"/>
          </w:divBdr>
        </w:div>
        <w:div w:id="1043484843">
          <w:marLeft w:val="979"/>
          <w:marRight w:val="0"/>
          <w:marTop w:val="77"/>
          <w:marBottom w:val="0"/>
          <w:divBdr>
            <w:top w:val="none" w:sz="0" w:space="0" w:color="auto"/>
            <w:left w:val="none" w:sz="0" w:space="0" w:color="auto"/>
            <w:bottom w:val="none" w:sz="0" w:space="0" w:color="auto"/>
            <w:right w:val="none" w:sz="0" w:space="0" w:color="auto"/>
          </w:divBdr>
        </w:div>
      </w:divsChild>
    </w:div>
    <w:div w:id="1694725118">
      <w:bodyDiv w:val="1"/>
      <w:marLeft w:val="0"/>
      <w:marRight w:val="0"/>
      <w:marTop w:val="0"/>
      <w:marBottom w:val="0"/>
      <w:divBdr>
        <w:top w:val="none" w:sz="0" w:space="0" w:color="auto"/>
        <w:left w:val="none" w:sz="0" w:space="0" w:color="auto"/>
        <w:bottom w:val="none" w:sz="0" w:space="0" w:color="auto"/>
        <w:right w:val="none" w:sz="0" w:space="0" w:color="auto"/>
      </w:divBdr>
    </w:div>
    <w:div w:id="1699963695">
      <w:bodyDiv w:val="1"/>
      <w:marLeft w:val="0"/>
      <w:marRight w:val="0"/>
      <w:marTop w:val="0"/>
      <w:marBottom w:val="0"/>
      <w:divBdr>
        <w:top w:val="none" w:sz="0" w:space="0" w:color="auto"/>
        <w:left w:val="none" w:sz="0" w:space="0" w:color="auto"/>
        <w:bottom w:val="none" w:sz="0" w:space="0" w:color="auto"/>
        <w:right w:val="none" w:sz="0" w:space="0" w:color="auto"/>
      </w:divBdr>
      <w:divsChild>
        <w:div w:id="242034846">
          <w:marLeft w:val="994"/>
          <w:marRight w:val="0"/>
          <w:marTop w:val="0"/>
          <w:marBottom w:val="0"/>
          <w:divBdr>
            <w:top w:val="none" w:sz="0" w:space="0" w:color="auto"/>
            <w:left w:val="none" w:sz="0" w:space="0" w:color="auto"/>
            <w:bottom w:val="none" w:sz="0" w:space="0" w:color="auto"/>
            <w:right w:val="none" w:sz="0" w:space="0" w:color="auto"/>
          </w:divBdr>
        </w:div>
        <w:div w:id="1271668211">
          <w:marLeft w:val="994"/>
          <w:marRight w:val="0"/>
          <w:marTop w:val="0"/>
          <w:marBottom w:val="0"/>
          <w:divBdr>
            <w:top w:val="none" w:sz="0" w:space="0" w:color="auto"/>
            <w:left w:val="none" w:sz="0" w:space="0" w:color="auto"/>
            <w:bottom w:val="none" w:sz="0" w:space="0" w:color="auto"/>
            <w:right w:val="none" w:sz="0" w:space="0" w:color="auto"/>
          </w:divBdr>
        </w:div>
        <w:div w:id="1869677074">
          <w:marLeft w:val="994"/>
          <w:marRight w:val="0"/>
          <w:marTop w:val="0"/>
          <w:marBottom w:val="0"/>
          <w:divBdr>
            <w:top w:val="none" w:sz="0" w:space="0" w:color="auto"/>
            <w:left w:val="none" w:sz="0" w:space="0" w:color="auto"/>
            <w:bottom w:val="none" w:sz="0" w:space="0" w:color="auto"/>
            <w:right w:val="none" w:sz="0" w:space="0" w:color="auto"/>
          </w:divBdr>
        </w:div>
        <w:div w:id="1661151554">
          <w:marLeft w:val="994"/>
          <w:marRight w:val="0"/>
          <w:marTop w:val="0"/>
          <w:marBottom w:val="0"/>
          <w:divBdr>
            <w:top w:val="none" w:sz="0" w:space="0" w:color="auto"/>
            <w:left w:val="none" w:sz="0" w:space="0" w:color="auto"/>
            <w:bottom w:val="none" w:sz="0" w:space="0" w:color="auto"/>
            <w:right w:val="none" w:sz="0" w:space="0" w:color="auto"/>
          </w:divBdr>
        </w:div>
        <w:div w:id="1191331878">
          <w:marLeft w:val="994"/>
          <w:marRight w:val="0"/>
          <w:marTop w:val="0"/>
          <w:marBottom w:val="0"/>
          <w:divBdr>
            <w:top w:val="none" w:sz="0" w:space="0" w:color="auto"/>
            <w:left w:val="none" w:sz="0" w:space="0" w:color="auto"/>
            <w:bottom w:val="none" w:sz="0" w:space="0" w:color="auto"/>
            <w:right w:val="none" w:sz="0" w:space="0" w:color="auto"/>
          </w:divBdr>
        </w:div>
      </w:divsChild>
    </w:div>
    <w:div w:id="1726752470">
      <w:bodyDiv w:val="1"/>
      <w:marLeft w:val="0"/>
      <w:marRight w:val="0"/>
      <w:marTop w:val="0"/>
      <w:marBottom w:val="0"/>
      <w:divBdr>
        <w:top w:val="none" w:sz="0" w:space="0" w:color="auto"/>
        <w:left w:val="none" w:sz="0" w:space="0" w:color="auto"/>
        <w:bottom w:val="none" w:sz="0" w:space="0" w:color="auto"/>
        <w:right w:val="none" w:sz="0" w:space="0" w:color="auto"/>
      </w:divBdr>
    </w:div>
    <w:div w:id="1744372459">
      <w:bodyDiv w:val="1"/>
      <w:marLeft w:val="0"/>
      <w:marRight w:val="0"/>
      <w:marTop w:val="0"/>
      <w:marBottom w:val="0"/>
      <w:divBdr>
        <w:top w:val="none" w:sz="0" w:space="0" w:color="auto"/>
        <w:left w:val="none" w:sz="0" w:space="0" w:color="auto"/>
        <w:bottom w:val="none" w:sz="0" w:space="0" w:color="auto"/>
        <w:right w:val="none" w:sz="0" w:space="0" w:color="auto"/>
      </w:divBdr>
    </w:div>
    <w:div w:id="1759253312">
      <w:bodyDiv w:val="1"/>
      <w:marLeft w:val="0"/>
      <w:marRight w:val="0"/>
      <w:marTop w:val="0"/>
      <w:marBottom w:val="0"/>
      <w:divBdr>
        <w:top w:val="none" w:sz="0" w:space="0" w:color="auto"/>
        <w:left w:val="none" w:sz="0" w:space="0" w:color="auto"/>
        <w:bottom w:val="none" w:sz="0" w:space="0" w:color="auto"/>
        <w:right w:val="none" w:sz="0" w:space="0" w:color="auto"/>
      </w:divBdr>
    </w:div>
    <w:div w:id="1818299761">
      <w:bodyDiv w:val="1"/>
      <w:marLeft w:val="0"/>
      <w:marRight w:val="0"/>
      <w:marTop w:val="0"/>
      <w:marBottom w:val="0"/>
      <w:divBdr>
        <w:top w:val="none" w:sz="0" w:space="0" w:color="auto"/>
        <w:left w:val="none" w:sz="0" w:space="0" w:color="auto"/>
        <w:bottom w:val="none" w:sz="0" w:space="0" w:color="auto"/>
        <w:right w:val="none" w:sz="0" w:space="0" w:color="auto"/>
      </w:divBdr>
    </w:div>
    <w:div w:id="1849755979">
      <w:bodyDiv w:val="1"/>
      <w:marLeft w:val="0"/>
      <w:marRight w:val="0"/>
      <w:marTop w:val="0"/>
      <w:marBottom w:val="0"/>
      <w:divBdr>
        <w:top w:val="none" w:sz="0" w:space="0" w:color="auto"/>
        <w:left w:val="none" w:sz="0" w:space="0" w:color="auto"/>
        <w:bottom w:val="none" w:sz="0" w:space="0" w:color="auto"/>
        <w:right w:val="none" w:sz="0" w:space="0" w:color="auto"/>
      </w:divBdr>
      <w:divsChild>
        <w:div w:id="1594971346">
          <w:marLeft w:val="547"/>
          <w:marRight w:val="0"/>
          <w:marTop w:val="86"/>
          <w:marBottom w:val="0"/>
          <w:divBdr>
            <w:top w:val="none" w:sz="0" w:space="0" w:color="auto"/>
            <w:left w:val="none" w:sz="0" w:space="0" w:color="auto"/>
            <w:bottom w:val="none" w:sz="0" w:space="0" w:color="auto"/>
            <w:right w:val="none" w:sz="0" w:space="0" w:color="auto"/>
          </w:divBdr>
        </w:div>
        <w:div w:id="51851450">
          <w:marLeft w:val="1166"/>
          <w:marRight w:val="0"/>
          <w:marTop w:val="67"/>
          <w:marBottom w:val="0"/>
          <w:divBdr>
            <w:top w:val="none" w:sz="0" w:space="0" w:color="auto"/>
            <w:left w:val="none" w:sz="0" w:space="0" w:color="auto"/>
            <w:bottom w:val="none" w:sz="0" w:space="0" w:color="auto"/>
            <w:right w:val="none" w:sz="0" w:space="0" w:color="auto"/>
          </w:divBdr>
        </w:div>
        <w:div w:id="1068113412">
          <w:marLeft w:val="1166"/>
          <w:marRight w:val="0"/>
          <w:marTop w:val="67"/>
          <w:marBottom w:val="0"/>
          <w:divBdr>
            <w:top w:val="none" w:sz="0" w:space="0" w:color="auto"/>
            <w:left w:val="none" w:sz="0" w:space="0" w:color="auto"/>
            <w:bottom w:val="none" w:sz="0" w:space="0" w:color="auto"/>
            <w:right w:val="none" w:sz="0" w:space="0" w:color="auto"/>
          </w:divBdr>
        </w:div>
        <w:div w:id="270091679">
          <w:marLeft w:val="547"/>
          <w:marRight w:val="0"/>
          <w:marTop w:val="86"/>
          <w:marBottom w:val="0"/>
          <w:divBdr>
            <w:top w:val="none" w:sz="0" w:space="0" w:color="auto"/>
            <w:left w:val="none" w:sz="0" w:space="0" w:color="auto"/>
            <w:bottom w:val="none" w:sz="0" w:space="0" w:color="auto"/>
            <w:right w:val="none" w:sz="0" w:space="0" w:color="auto"/>
          </w:divBdr>
        </w:div>
        <w:div w:id="1507675365">
          <w:marLeft w:val="1166"/>
          <w:marRight w:val="0"/>
          <w:marTop w:val="67"/>
          <w:marBottom w:val="0"/>
          <w:divBdr>
            <w:top w:val="none" w:sz="0" w:space="0" w:color="auto"/>
            <w:left w:val="none" w:sz="0" w:space="0" w:color="auto"/>
            <w:bottom w:val="none" w:sz="0" w:space="0" w:color="auto"/>
            <w:right w:val="none" w:sz="0" w:space="0" w:color="auto"/>
          </w:divBdr>
        </w:div>
        <w:div w:id="1472138476">
          <w:marLeft w:val="1800"/>
          <w:marRight w:val="0"/>
          <w:marTop w:val="67"/>
          <w:marBottom w:val="0"/>
          <w:divBdr>
            <w:top w:val="none" w:sz="0" w:space="0" w:color="auto"/>
            <w:left w:val="none" w:sz="0" w:space="0" w:color="auto"/>
            <w:bottom w:val="none" w:sz="0" w:space="0" w:color="auto"/>
            <w:right w:val="none" w:sz="0" w:space="0" w:color="auto"/>
          </w:divBdr>
        </w:div>
        <w:div w:id="1521122011">
          <w:marLeft w:val="1800"/>
          <w:marRight w:val="0"/>
          <w:marTop w:val="67"/>
          <w:marBottom w:val="0"/>
          <w:divBdr>
            <w:top w:val="none" w:sz="0" w:space="0" w:color="auto"/>
            <w:left w:val="none" w:sz="0" w:space="0" w:color="auto"/>
            <w:bottom w:val="none" w:sz="0" w:space="0" w:color="auto"/>
            <w:right w:val="none" w:sz="0" w:space="0" w:color="auto"/>
          </w:divBdr>
        </w:div>
        <w:div w:id="1189373675">
          <w:marLeft w:val="1800"/>
          <w:marRight w:val="0"/>
          <w:marTop w:val="67"/>
          <w:marBottom w:val="0"/>
          <w:divBdr>
            <w:top w:val="none" w:sz="0" w:space="0" w:color="auto"/>
            <w:left w:val="none" w:sz="0" w:space="0" w:color="auto"/>
            <w:bottom w:val="none" w:sz="0" w:space="0" w:color="auto"/>
            <w:right w:val="none" w:sz="0" w:space="0" w:color="auto"/>
          </w:divBdr>
        </w:div>
        <w:div w:id="1876767082">
          <w:marLeft w:val="1800"/>
          <w:marRight w:val="0"/>
          <w:marTop w:val="67"/>
          <w:marBottom w:val="0"/>
          <w:divBdr>
            <w:top w:val="none" w:sz="0" w:space="0" w:color="auto"/>
            <w:left w:val="none" w:sz="0" w:space="0" w:color="auto"/>
            <w:bottom w:val="none" w:sz="0" w:space="0" w:color="auto"/>
            <w:right w:val="none" w:sz="0" w:space="0" w:color="auto"/>
          </w:divBdr>
        </w:div>
        <w:div w:id="134763150">
          <w:marLeft w:val="1800"/>
          <w:marRight w:val="0"/>
          <w:marTop w:val="67"/>
          <w:marBottom w:val="0"/>
          <w:divBdr>
            <w:top w:val="none" w:sz="0" w:space="0" w:color="auto"/>
            <w:left w:val="none" w:sz="0" w:space="0" w:color="auto"/>
            <w:bottom w:val="none" w:sz="0" w:space="0" w:color="auto"/>
            <w:right w:val="none" w:sz="0" w:space="0" w:color="auto"/>
          </w:divBdr>
        </w:div>
        <w:div w:id="1059398284">
          <w:marLeft w:val="1166"/>
          <w:marRight w:val="0"/>
          <w:marTop w:val="67"/>
          <w:marBottom w:val="0"/>
          <w:divBdr>
            <w:top w:val="none" w:sz="0" w:space="0" w:color="auto"/>
            <w:left w:val="none" w:sz="0" w:space="0" w:color="auto"/>
            <w:bottom w:val="none" w:sz="0" w:space="0" w:color="auto"/>
            <w:right w:val="none" w:sz="0" w:space="0" w:color="auto"/>
          </w:divBdr>
        </w:div>
      </w:divsChild>
    </w:div>
    <w:div w:id="1886211968">
      <w:bodyDiv w:val="1"/>
      <w:marLeft w:val="0"/>
      <w:marRight w:val="0"/>
      <w:marTop w:val="0"/>
      <w:marBottom w:val="0"/>
      <w:divBdr>
        <w:top w:val="none" w:sz="0" w:space="0" w:color="auto"/>
        <w:left w:val="none" w:sz="0" w:space="0" w:color="auto"/>
        <w:bottom w:val="none" w:sz="0" w:space="0" w:color="auto"/>
        <w:right w:val="none" w:sz="0" w:space="0" w:color="auto"/>
      </w:divBdr>
    </w:div>
    <w:div w:id="1908689147">
      <w:bodyDiv w:val="1"/>
      <w:marLeft w:val="0"/>
      <w:marRight w:val="0"/>
      <w:marTop w:val="0"/>
      <w:marBottom w:val="0"/>
      <w:divBdr>
        <w:top w:val="none" w:sz="0" w:space="0" w:color="auto"/>
        <w:left w:val="none" w:sz="0" w:space="0" w:color="auto"/>
        <w:bottom w:val="none" w:sz="0" w:space="0" w:color="auto"/>
        <w:right w:val="none" w:sz="0" w:space="0" w:color="auto"/>
      </w:divBdr>
    </w:div>
    <w:div w:id="1928153418">
      <w:bodyDiv w:val="1"/>
      <w:marLeft w:val="0"/>
      <w:marRight w:val="0"/>
      <w:marTop w:val="0"/>
      <w:marBottom w:val="0"/>
      <w:divBdr>
        <w:top w:val="none" w:sz="0" w:space="0" w:color="auto"/>
        <w:left w:val="none" w:sz="0" w:space="0" w:color="auto"/>
        <w:bottom w:val="none" w:sz="0" w:space="0" w:color="auto"/>
        <w:right w:val="none" w:sz="0" w:space="0" w:color="auto"/>
      </w:divBdr>
    </w:div>
    <w:div w:id="1928951884">
      <w:bodyDiv w:val="1"/>
      <w:marLeft w:val="0"/>
      <w:marRight w:val="0"/>
      <w:marTop w:val="0"/>
      <w:marBottom w:val="0"/>
      <w:divBdr>
        <w:top w:val="none" w:sz="0" w:space="0" w:color="auto"/>
        <w:left w:val="none" w:sz="0" w:space="0" w:color="auto"/>
        <w:bottom w:val="none" w:sz="0" w:space="0" w:color="auto"/>
        <w:right w:val="none" w:sz="0" w:space="0" w:color="auto"/>
      </w:divBdr>
      <w:divsChild>
        <w:div w:id="1862696442">
          <w:marLeft w:val="288"/>
          <w:marRight w:val="0"/>
          <w:marTop w:val="86"/>
          <w:marBottom w:val="0"/>
          <w:divBdr>
            <w:top w:val="none" w:sz="0" w:space="0" w:color="auto"/>
            <w:left w:val="none" w:sz="0" w:space="0" w:color="auto"/>
            <w:bottom w:val="none" w:sz="0" w:space="0" w:color="auto"/>
            <w:right w:val="none" w:sz="0" w:space="0" w:color="auto"/>
          </w:divBdr>
        </w:div>
        <w:div w:id="490683015">
          <w:marLeft w:val="979"/>
          <w:marRight w:val="0"/>
          <w:marTop w:val="77"/>
          <w:marBottom w:val="0"/>
          <w:divBdr>
            <w:top w:val="none" w:sz="0" w:space="0" w:color="auto"/>
            <w:left w:val="none" w:sz="0" w:space="0" w:color="auto"/>
            <w:bottom w:val="none" w:sz="0" w:space="0" w:color="auto"/>
            <w:right w:val="none" w:sz="0" w:space="0" w:color="auto"/>
          </w:divBdr>
        </w:div>
        <w:div w:id="1529636388">
          <w:marLeft w:val="979"/>
          <w:marRight w:val="0"/>
          <w:marTop w:val="77"/>
          <w:marBottom w:val="0"/>
          <w:divBdr>
            <w:top w:val="none" w:sz="0" w:space="0" w:color="auto"/>
            <w:left w:val="none" w:sz="0" w:space="0" w:color="auto"/>
            <w:bottom w:val="none" w:sz="0" w:space="0" w:color="auto"/>
            <w:right w:val="none" w:sz="0" w:space="0" w:color="auto"/>
          </w:divBdr>
        </w:div>
        <w:div w:id="369573342">
          <w:marLeft w:val="288"/>
          <w:marRight w:val="0"/>
          <w:marTop w:val="160"/>
          <w:marBottom w:val="0"/>
          <w:divBdr>
            <w:top w:val="none" w:sz="0" w:space="0" w:color="auto"/>
            <w:left w:val="none" w:sz="0" w:space="0" w:color="auto"/>
            <w:bottom w:val="none" w:sz="0" w:space="0" w:color="auto"/>
            <w:right w:val="none" w:sz="0" w:space="0" w:color="auto"/>
          </w:divBdr>
        </w:div>
        <w:div w:id="102967816">
          <w:marLeft w:val="979"/>
          <w:marRight w:val="0"/>
          <w:marTop w:val="77"/>
          <w:marBottom w:val="0"/>
          <w:divBdr>
            <w:top w:val="none" w:sz="0" w:space="0" w:color="auto"/>
            <w:left w:val="none" w:sz="0" w:space="0" w:color="auto"/>
            <w:bottom w:val="none" w:sz="0" w:space="0" w:color="auto"/>
            <w:right w:val="none" w:sz="0" w:space="0" w:color="auto"/>
          </w:divBdr>
        </w:div>
        <w:div w:id="2060665022">
          <w:marLeft w:val="288"/>
          <w:marRight w:val="0"/>
          <w:marTop w:val="160"/>
          <w:marBottom w:val="0"/>
          <w:divBdr>
            <w:top w:val="none" w:sz="0" w:space="0" w:color="auto"/>
            <w:left w:val="none" w:sz="0" w:space="0" w:color="auto"/>
            <w:bottom w:val="none" w:sz="0" w:space="0" w:color="auto"/>
            <w:right w:val="none" w:sz="0" w:space="0" w:color="auto"/>
          </w:divBdr>
        </w:div>
        <w:div w:id="1240754786">
          <w:marLeft w:val="979"/>
          <w:marRight w:val="0"/>
          <w:marTop w:val="77"/>
          <w:marBottom w:val="0"/>
          <w:divBdr>
            <w:top w:val="none" w:sz="0" w:space="0" w:color="auto"/>
            <w:left w:val="none" w:sz="0" w:space="0" w:color="auto"/>
            <w:bottom w:val="none" w:sz="0" w:space="0" w:color="auto"/>
            <w:right w:val="none" w:sz="0" w:space="0" w:color="auto"/>
          </w:divBdr>
        </w:div>
        <w:div w:id="1653487420">
          <w:marLeft w:val="979"/>
          <w:marRight w:val="0"/>
          <w:marTop w:val="77"/>
          <w:marBottom w:val="0"/>
          <w:divBdr>
            <w:top w:val="none" w:sz="0" w:space="0" w:color="auto"/>
            <w:left w:val="none" w:sz="0" w:space="0" w:color="auto"/>
            <w:bottom w:val="none" w:sz="0" w:space="0" w:color="auto"/>
            <w:right w:val="none" w:sz="0" w:space="0" w:color="auto"/>
          </w:divBdr>
        </w:div>
        <w:div w:id="56784800">
          <w:marLeft w:val="288"/>
          <w:marRight w:val="0"/>
          <w:marTop w:val="160"/>
          <w:marBottom w:val="0"/>
          <w:divBdr>
            <w:top w:val="none" w:sz="0" w:space="0" w:color="auto"/>
            <w:left w:val="none" w:sz="0" w:space="0" w:color="auto"/>
            <w:bottom w:val="none" w:sz="0" w:space="0" w:color="auto"/>
            <w:right w:val="none" w:sz="0" w:space="0" w:color="auto"/>
          </w:divBdr>
        </w:div>
        <w:div w:id="1792047893">
          <w:marLeft w:val="979"/>
          <w:marRight w:val="0"/>
          <w:marTop w:val="77"/>
          <w:marBottom w:val="0"/>
          <w:divBdr>
            <w:top w:val="none" w:sz="0" w:space="0" w:color="auto"/>
            <w:left w:val="none" w:sz="0" w:space="0" w:color="auto"/>
            <w:bottom w:val="none" w:sz="0" w:space="0" w:color="auto"/>
            <w:right w:val="none" w:sz="0" w:space="0" w:color="auto"/>
          </w:divBdr>
        </w:div>
        <w:div w:id="67575547">
          <w:marLeft w:val="288"/>
          <w:marRight w:val="0"/>
          <w:marTop w:val="160"/>
          <w:marBottom w:val="0"/>
          <w:divBdr>
            <w:top w:val="none" w:sz="0" w:space="0" w:color="auto"/>
            <w:left w:val="none" w:sz="0" w:space="0" w:color="auto"/>
            <w:bottom w:val="none" w:sz="0" w:space="0" w:color="auto"/>
            <w:right w:val="none" w:sz="0" w:space="0" w:color="auto"/>
          </w:divBdr>
        </w:div>
        <w:div w:id="186255989">
          <w:marLeft w:val="979"/>
          <w:marRight w:val="0"/>
          <w:marTop w:val="77"/>
          <w:marBottom w:val="0"/>
          <w:divBdr>
            <w:top w:val="none" w:sz="0" w:space="0" w:color="auto"/>
            <w:left w:val="none" w:sz="0" w:space="0" w:color="auto"/>
            <w:bottom w:val="none" w:sz="0" w:space="0" w:color="auto"/>
            <w:right w:val="none" w:sz="0" w:space="0" w:color="auto"/>
          </w:divBdr>
        </w:div>
        <w:div w:id="1115321526">
          <w:marLeft w:val="288"/>
          <w:marRight w:val="0"/>
          <w:marTop w:val="160"/>
          <w:marBottom w:val="0"/>
          <w:divBdr>
            <w:top w:val="none" w:sz="0" w:space="0" w:color="auto"/>
            <w:left w:val="none" w:sz="0" w:space="0" w:color="auto"/>
            <w:bottom w:val="none" w:sz="0" w:space="0" w:color="auto"/>
            <w:right w:val="none" w:sz="0" w:space="0" w:color="auto"/>
          </w:divBdr>
        </w:div>
        <w:div w:id="261770008">
          <w:marLeft w:val="979"/>
          <w:marRight w:val="0"/>
          <w:marTop w:val="77"/>
          <w:marBottom w:val="0"/>
          <w:divBdr>
            <w:top w:val="none" w:sz="0" w:space="0" w:color="auto"/>
            <w:left w:val="none" w:sz="0" w:space="0" w:color="auto"/>
            <w:bottom w:val="none" w:sz="0" w:space="0" w:color="auto"/>
            <w:right w:val="none" w:sz="0" w:space="0" w:color="auto"/>
          </w:divBdr>
        </w:div>
      </w:divsChild>
    </w:div>
    <w:div w:id="1991710190">
      <w:bodyDiv w:val="1"/>
      <w:marLeft w:val="0"/>
      <w:marRight w:val="0"/>
      <w:marTop w:val="0"/>
      <w:marBottom w:val="0"/>
      <w:divBdr>
        <w:top w:val="none" w:sz="0" w:space="0" w:color="auto"/>
        <w:left w:val="none" w:sz="0" w:space="0" w:color="auto"/>
        <w:bottom w:val="none" w:sz="0" w:space="0" w:color="auto"/>
        <w:right w:val="none" w:sz="0" w:space="0" w:color="auto"/>
      </w:divBdr>
    </w:div>
    <w:div w:id="2048679904">
      <w:bodyDiv w:val="1"/>
      <w:marLeft w:val="0"/>
      <w:marRight w:val="0"/>
      <w:marTop w:val="0"/>
      <w:marBottom w:val="0"/>
      <w:divBdr>
        <w:top w:val="none" w:sz="0" w:space="0" w:color="auto"/>
        <w:left w:val="none" w:sz="0" w:space="0" w:color="auto"/>
        <w:bottom w:val="none" w:sz="0" w:space="0" w:color="auto"/>
        <w:right w:val="none" w:sz="0" w:space="0" w:color="auto"/>
      </w:divBdr>
    </w:div>
    <w:div w:id="2052536114">
      <w:bodyDiv w:val="1"/>
      <w:marLeft w:val="0"/>
      <w:marRight w:val="0"/>
      <w:marTop w:val="0"/>
      <w:marBottom w:val="0"/>
      <w:divBdr>
        <w:top w:val="none" w:sz="0" w:space="0" w:color="auto"/>
        <w:left w:val="none" w:sz="0" w:space="0" w:color="auto"/>
        <w:bottom w:val="none" w:sz="0" w:space="0" w:color="auto"/>
        <w:right w:val="none" w:sz="0" w:space="0" w:color="auto"/>
      </w:divBdr>
    </w:div>
    <w:div w:id="2058698123">
      <w:bodyDiv w:val="1"/>
      <w:marLeft w:val="0"/>
      <w:marRight w:val="0"/>
      <w:marTop w:val="0"/>
      <w:marBottom w:val="0"/>
      <w:divBdr>
        <w:top w:val="none" w:sz="0" w:space="0" w:color="auto"/>
        <w:left w:val="none" w:sz="0" w:space="0" w:color="auto"/>
        <w:bottom w:val="none" w:sz="0" w:space="0" w:color="auto"/>
        <w:right w:val="none" w:sz="0" w:space="0" w:color="auto"/>
      </w:divBdr>
    </w:div>
    <w:div w:id="2083748171">
      <w:bodyDiv w:val="1"/>
      <w:marLeft w:val="0"/>
      <w:marRight w:val="0"/>
      <w:marTop w:val="0"/>
      <w:marBottom w:val="0"/>
      <w:divBdr>
        <w:top w:val="none" w:sz="0" w:space="0" w:color="auto"/>
        <w:left w:val="none" w:sz="0" w:space="0" w:color="auto"/>
        <w:bottom w:val="none" w:sz="0" w:space="0" w:color="auto"/>
        <w:right w:val="none" w:sz="0" w:space="0" w:color="auto"/>
      </w:divBdr>
    </w:div>
    <w:div w:id="2100060295">
      <w:bodyDiv w:val="1"/>
      <w:marLeft w:val="0"/>
      <w:marRight w:val="0"/>
      <w:marTop w:val="0"/>
      <w:marBottom w:val="0"/>
      <w:divBdr>
        <w:top w:val="none" w:sz="0" w:space="0" w:color="auto"/>
        <w:left w:val="none" w:sz="0" w:space="0" w:color="auto"/>
        <w:bottom w:val="none" w:sz="0" w:space="0" w:color="auto"/>
        <w:right w:val="none" w:sz="0" w:space="0" w:color="auto"/>
      </w:divBdr>
      <w:divsChild>
        <w:div w:id="950168897">
          <w:marLeft w:val="1166"/>
          <w:marRight w:val="0"/>
          <w:marTop w:val="53"/>
          <w:marBottom w:val="0"/>
          <w:divBdr>
            <w:top w:val="none" w:sz="0" w:space="0" w:color="auto"/>
            <w:left w:val="none" w:sz="0" w:space="0" w:color="auto"/>
            <w:bottom w:val="none" w:sz="0" w:space="0" w:color="auto"/>
            <w:right w:val="none" w:sz="0" w:space="0" w:color="auto"/>
          </w:divBdr>
        </w:div>
      </w:divsChild>
    </w:div>
    <w:div w:id="2120757399">
      <w:bodyDiv w:val="1"/>
      <w:marLeft w:val="0"/>
      <w:marRight w:val="0"/>
      <w:marTop w:val="0"/>
      <w:marBottom w:val="0"/>
      <w:divBdr>
        <w:top w:val="none" w:sz="0" w:space="0" w:color="auto"/>
        <w:left w:val="none" w:sz="0" w:space="0" w:color="auto"/>
        <w:bottom w:val="none" w:sz="0" w:space="0" w:color="auto"/>
        <w:right w:val="none" w:sz="0" w:space="0" w:color="auto"/>
      </w:divBdr>
    </w:div>
    <w:div w:id="2134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1C2E2-A45B-455F-9545-EF107379DE1C}">
  <ds:schemaRefs>
    <ds:schemaRef ds:uri="http://schemas.openxmlformats.org/officeDocument/2006/bibliography"/>
  </ds:schemaRefs>
</ds:datastoreItem>
</file>

<file path=customXml/itemProps2.xml><?xml version="1.0" encoding="utf-8"?>
<ds:datastoreItem xmlns:ds="http://schemas.openxmlformats.org/officeDocument/2006/customXml" ds:itemID="{DF6198BA-5CC9-43C0-AEDB-01CF8016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3757</Words>
  <Characters>22172</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Picková Veronika</dc:creator>
  <cp:lastModifiedBy>OSPZV3 ospzv3</cp:lastModifiedBy>
  <cp:revision>2</cp:revision>
  <cp:lastPrinted>2015-11-23T11:54:00Z</cp:lastPrinted>
  <dcterms:created xsi:type="dcterms:W3CDTF">2015-11-23T11:55:00Z</dcterms:created>
  <dcterms:modified xsi:type="dcterms:W3CDTF">2015-11-23T11:55:00Z</dcterms:modified>
</cp:coreProperties>
</file>